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4FE1E" w14:textId="77777777" w:rsidR="00BC705B" w:rsidRDefault="00BC705B" w:rsidP="00BC705B">
      <w:pPr>
        <w:spacing w:after="0" w:line="240" w:lineRule="auto"/>
        <w:jc w:val="center"/>
        <w:outlineLvl w:val="2"/>
        <w:rPr>
          <w:rFonts w:eastAsia="Times New Roman"/>
          <w:b/>
          <w:bCs/>
          <w:sz w:val="27"/>
          <w:szCs w:val="27"/>
        </w:rPr>
      </w:pPr>
    </w:p>
    <w:p w14:paraId="1CC5ADBA" w14:textId="77777777" w:rsidR="00B71445" w:rsidRDefault="00B71445" w:rsidP="00BC705B">
      <w:pPr>
        <w:spacing w:after="0" w:line="240" w:lineRule="auto"/>
        <w:jc w:val="center"/>
        <w:outlineLvl w:val="2"/>
        <w:rPr>
          <w:rFonts w:eastAsia="Times New Roman"/>
          <w:b/>
          <w:bCs/>
          <w:sz w:val="27"/>
          <w:szCs w:val="27"/>
        </w:rPr>
      </w:pPr>
      <w:r>
        <w:rPr>
          <w:rFonts w:eastAsia="Times New Roman"/>
          <w:b/>
          <w:bCs/>
          <w:sz w:val="27"/>
          <w:szCs w:val="27"/>
        </w:rPr>
        <w:t>BTP2NA_T_31</w:t>
      </w:r>
    </w:p>
    <w:p w14:paraId="66A67077" w14:textId="77777777" w:rsidR="00BC705B" w:rsidRDefault="00BC705B" w:rsidP="00BC705B">
      <w:pPr>
        <w:spacing w:after="0" w:line="240" w:lineRule="auto"/>
        <w:jc w:val="center"/>
        <w:outlineLvl w:val="2"/>
        <w:rPr>
          <w:rFonts w:eastAsia="Times New Roman"/>
          <w:b/>
          <w:bCs/>
          <w:sz w:val="27"/>
          <w:szCs w:val="27"/>
        </w:rPr>
      </w:pPr>
      <w:r w:rsidRPr="00BC705B">
        <w:rPr>
          <w:rFonts w:eastAsia="Times New Roman"/>
          <w:b/>
          <w:bCs/>
          <w:sz w:val="27"/>
          <w:szCs w:val="27"/>
        </w:rPr>
        <w:t xml:space="preserve">Confession, Attestation, and the </w:t>
      </w:r>
    </w:p>
    <w:p w14:paraId="1A357267" w14:textId="77777777" w:rsidR="00BC705B" w:rsidRDefault="00BC705B" w:rsidP="00BC705B">
      <w:pPr>
        <w:spacing w:after="0" w:line="240" w:lineRule="auto"/>
        <w:jc w:val="center"/>
        <w:outlineLvl w:val="2"/>
        <w:rPr>
          <w:rFonts w:eastAsia="Times New Roman"/>
          <w:b/>
          <w:bCs/>
          <w:sz w:val="27"/>
          <w:szCs w:val="27"/>
        </w:rPr>
      </w:pPr>
      <w:r w:rsidRPr="00BC705B">
        <w:rPr>
          <w:rFonts w:eastAsia="Times New Roman"/>
          <w:b/>
          <w:bCs/>
          <w:sz w:val="27"/>
          <w:szCs w:val="27"/>
        </w:rPr>
        <w:t>Tra</w:t>
      </w:r>
      <w:r>
        <w:rPr>
          <w:rFonts w:eastAsia="Times New Roman"/>
          <w:b/>
          <w:bCs/>
          <w:sz w:val="27"/>
          <w:szCs w:val="27"/>
        </w:rPr>
        <w:t>nsgressive Self in Autobiographical, Fictional, and Cinematic Narratives</w:t>
      </w:r>
    </w:p>
    <w:p w14:paraId="0F72A5D9" w14:textId="77777777" w:rsidR="00B71445" w:rsidRDefault="00B71445" w:rsidP="00BC705B">
      <w:pPr>
        <w:spacing w:after="0" w:line="240" w:lineRule="auto"/>
        <w:jc w:val="center"/>
        <w:outlineLvl w:val="2"/>
        <w:rPr>
          <w:rFonts w:eastAsia="Times New Roman"/>
          <w:b/>
          <w:bCs/>
          <w:sz w:val="27"/>
          <w:szCs w:val="27"/>
        </w:rPr>
      </w:pPr>
    </w:p>
    <w:p w14:paraId="3C5133CC" w14:textId="77777777" w:rsidR="00B71445" w:rsidRDefault="00B71445" w:rsidP="00BC705B">
      <w:pPr>
        <w:spacing w:after="0" w:line="240" w:lineRule="auto"/>
        <w:jc w:val="center"/>
        <w:outlineLvl w:val="2"/>
        <w:rPr>
          <w:rFonts w:eastAsia="Times New Roman"/>
          <w:b/>
          <w:bCs/>
          <w:sz w:val="27"/>
          <w:szCs w:val="27"/>
        </w:rPr>
      </w:pPr>
    </w:p>
    <w:p w14:paraId="123CFB45" w14:textId="77777777" w:rsidR="00BC705B" w:rsidRPr="00B71445" w:rsidRDefault="00B71445" w:rsidP="00B71445">
      <w:pPr>
        <w:spacing w:after="0" w:line="240" w:lineRule="auto"/>
        <w:outlineLvl w:val="2"/>
        <w:rPr>
          <w:rFonts w:eastAsia="Times New Roman"/>
          <w:b/>
          <w:bCs/>
          <w:szCs w:val="27"/>
        </w:rPr>
      </w:pPr>
      <w:r w:rsidRPr="00B71445">
        <w:rPr>
          <w:rFonts w:eastAsia="Times New Roman"/>
          <w:b/>
          <w:bCs/>
          <w:szCs w:val="27"/>
        </w:rPr>
        <w:t xml:space="preserve">Course Description </w:t>
      </w:r>
    </w:p>
    <w:p w14:paraId="48803798" w14:textId="77777777" w:rsidR="00B71445" w:rsidRPr="00BC705B" w:rsidRDefault="00B71445" w:rsidP="00B71445">
      <w:pPr>
        <w:spacing w:after="0" w:line="240" w:lineRule="auto"/>
        <w:outlineLvl w:val="2"/>
        <w:rPr>
          <w:rFonts w:eastAsia="Times New Roman"/>
          <w:b/>
          <w:bCs/>
          <w:sz w:val="27"/>
          <w:szCs w:val="27"/>
        </w:rPr>
      </w:pPr>
    </w:p>
    <w:p w14:paraId="79E19E87" w14:textId="77777777" w:rsidR="00BC705B" w:rsidRPr="00BC705B" w:rsidRDefault="00BC705B" w:rsidP="00BC705B">
      <w:pPr>
        <w:spacing w:after="0" w:line="240" w:lineRule="auto"/>
        <w:jc w:val="both"/>
        <w:rPr>
          <w:rFonts w:eastAsia="Times New Roman"/>
        </w:rPr>
      </w:pPr>
      <w:r w:rsidRPr="00BC705B">
        <w:rPr>
          <w:rFonts w:eastAsia="Times New Roman"/>
        </w:rPr>
        <w:t>What does it mean to tell the truth about something we have done wrong? Does confessing an action amount to taking responsibility for it? Can we sincerely give an account of our past while misunderstanding the person we once were—or the person we have become? And what happens when others challenge the story we tell about ourselves?</w:t>
      </w:r>
    </w:p>
    <w:p w14:paraId="5F8B98DA" w14:textId="77777777" w:rsidR="00BC705B" w:rsidRPr="00BC705B" w:rsidRDefault="00BC705B" w:rsidP="00BC705B">
      <w:pPr>
        <w:spacing w:after="0" w:line="240" w:lineRule="auto"/>
        <w:ind w:firstLine="720"/>
        <w:jc w:val="both"/>
        <w:rPr>
          <w:rFonts w:eastAsia="Times New Roman"/>
        </w:rPr>
      </w:pPr>
      <w:r w:rsidRPr="00BC705B">
        <w:rPr>
          <w:rFonts w:eastAsia="Times New Roman"/>
        </w:rPr>
        <w:t>This seminar explores these questions through literary and cinematic narratives of transgression, confession, guilt, self-knowledge, and responsibility. We will consider different ways in which characters conceal, disclose, justify, fictionalize, or attempt to come to terms with morally troubling actions, and ask what it might mean genuinely to acknowledge an action as one’s own.</w:t>
      </w:r>
    </w:p>
    <w:p w14:paraId="0973CE1F" w14:textId="77777777" w:rsidR="00BC705B" w:rsidRPr="00BC705B" w:rsidRDefault="00BC705B" w:rsidP="00BC705B">
      <w:pPr>
        <w:spacing w:after="0" w:line="240" w:lineRule="auto"/>
        <w:ind w:firstLine="720"/>
        <w:jc w:val="both"/>
        <w:rPr>
          <w:rFonts w:eastAsia="Times New Roman"/>
        </w:rPr>
      </w:pPr>
      <w:r w:rsidRPr="00BC705B">
        <w:rPr>
          <w:rFonts w:eastAsia="Times New Roman"/>
        </w:rPr>
        <w:t xml:space="preserve">The course places contemporary works in conversation with a longer tradition of thinking about confession and the self, beginning with selections from </w:t>
      </w:r>
      <w:r>
        <w:rPr>
          <w:rFonts w:eastAsia="Times New Roman"/>
        </w:rPr>
        <w:t xml:space="preserve">St. </w:t>
      </w:r>
      <w:r w:rsidRPr="00BC705B">
        <w:rPr>
          <w:rFonts w:eastAsia="Times New Roman"/>
          <w:bCs/>
        </w:rPr>
        <w:t>Augustine</w:t>
      </w:r>
      <w:r w:rsidRPr="00BC705B">
        <w:rPr>
          <w:rFonts w:eastAsia="Times New Roman"/>
          <w:b/>
          <w:bCs/>
        </w:rPr>
        <w:t xml:space="preserve"> </w:t>
      </w:r>
      <w:r w:rsidRPr="00BC705B">
        <w:rPr>
          <w:rFonts w:eastAsia="Times New Roman"/>
          <w:bCs/>
        </w:rPr>
        <w:t xml:space="preserve">and </w:t>
      </w:r>
      <w:r>
        <w:rPr>
          <w:rFonts w:eastAsia="Times New Roman"/>
          <w:bCs/>
        </w:rPr>
        <w:t xml:space="preserve">Jean-Jacques </w:t>
      </w:r>
      <w:r w:rsidRPr="00BC705B">
        <w:rPr>
          <w:rFonts w:eastAsia="Times New Roman"/>
          <w:bCs/>
        </w:rPr>
        <w:t>Rousseau</w:t>
      </w:r>
      <w:r w:rsidRPr="00BC705B">
        <w:rPr>
          <w:rFonts w:eastAsia="Times New Roman"/>
        </w:rPr>
        <w:t xml:space="preserve"> moving to modern discussions by </w:t>
      </w:r>
      <w:r w:rsidRPr="00BC705B">
        <w:rPr>
          <w:rFonts w:eastAsia="Times New Roman"/>
          <w:bCs/>
        </w:rPr>
        <w:t xml:space="preserve">Paul de Man, Paul </w:t>
      </w:r>
      <w:proofErr w:type="spellStart"/>
      <w:r w:rsidRPr="00BC705B">
        <w:rPr>
          <w:rFonts w:eastAsia="Times New Roman"/>
          <w:bCs/>
        </w:rPr>
        <w:t>Ricoeur</w:t>
      </w:r>
      <w:proofErr w:type="spellEnd"/>
      <w:r w:rsidRPr="00BC705B">
        <w:rPr>
          <w:rFonts w:eastAsia="Times New Roman"/>
          <w:bCs/>
        </w:rPr>
        <w:t>, Michel Foucault, and Judith Butler</w:t>
      </w:r>
      <w:r w:rsidRPr="00BC705B">
        <w:rPr>
          <w:rFonts w:eastAsia="Times New Roman"/>
        </w:rPr>
        <w:t xml:space="preserve">. A central concept will be </w:t>
      </w:r>
      <w:proofErr w:type="spellStart"/>
      <w:r w:rsidRPr="00BC705B">
        <w:rPr>
          <w:rFonts w:eastAsia="Times New Roman"/>
        </w:rPr>
        <w:t>Ricoeur’s</w:t>
      </w:r>
      <w:proofErr w:type="spellEnd"/>
      <w:r w:rsidRPr="00BC705B">
        <w:rPr>
          <w:rFonts w:eastAsia="Times New Roman"/>
        </w:rPr>
        <w:t xml:space="preserve"> idea of </w:t>
      </w:r>
      <w:r w:rsidRPr="00BC705B">
        <w:rPr>
          <w:rFonts w:eastAsia="Times New Roman"/>
          <w:bCs/>
          <w:i/>
        </w:rPr>
        <w:t>attestation</w:t>
      </w:r>
      <w:r w:rsidRPr="00BC705B">
        <w:rPr>
          <w:rFonts w:eastAsia="Times New Roman"/>
        </w:rPr>
        <w:t>: the ways in which we affirm who we are, acknowledge what we have done, and assume responsibility for our actions. The theoretical readings will help us distinguish between factual truth, sincerity, confession, self-knowledge, acknowledgment, and responsibility—and to consider why these do not always coincide.</w:t>
      </w:r>
    </w:p>
    <w:p w14:paraId="3AB73675" w14:textId="77777777" w:rsidR="00BC705B" w:rsidRPr="00BC705B" w:rsidRDefault="00BC705B" w:rsidP="00BC705B">
      <w:pPr>
        <w:spacing w:after="0" w:line="240" w:lineRule="auto"/>
        <w:ind w:firstLine="720"/>
        <w:jc w:val="both"/>
        <w:rPr>
          <w:rFonts w:eastAsia="Times New Roman"/>
        </w:rPr>
      </w:pPr>
      <w:r>
        <w:rPr>
          <w:rFonts w:eastAsia="Times New Roman"/>
        </w:rPr>
        <w:t>The novels to be discussed include</w:t>
      </w:r>
      <w:r w:rsidRPr="00BC705B">
        <w:rPr>
          <w:rFonts w:eastAsia="Times New Roman"/>
        </w:rPr>
        <w:t xml:space="preserve"> include Julian Barnes’s </w:t>
      </w:r>
      <w:r w:rsidRPr="00BC705B">
        <w:rPr>
          <w:rFonts w:eastAsia="Times New Roman"/>
          <w:i/>
          <w:iCs/>
        </w:rPr>
        <w:t>The Sense of an Ending</w:t>
      </w:r>
      <w:r>
        <w:rPr>
          <w:rFonts w:eastAsia="Times New Roman"/>
          <w:iCs/>
        </w:rPr>
        <w:t xml:space="preserve"> (2011)</w:t>
      </w:r>
      <w:r w:rsidRPr="00BC705B">
        <w:rPr>
          <w:rFonts w:eastAsia="Times New Roman"/>
        </w:rPr>
        <w:t xml:space="preserve">, Paul Auster’s </w:t>
      </w:r>
      <w:r w:rsidRPr="00BC705B">
        <w:rPr>
          <w:rFonts w:eastAsia="Times New Roman"/>
          <w:i/>
          <w:iCs/>
        </w:rPr>
        <w:t>Invisible</w:t>
      </w:r>
      <w:r>
        <w:t xml:space="preserve"> (2009)</w:t>
      </w:r>
      <w:r w:rsidRPr="00BC705B">
        <w:rPr>
          <w:rFonts w:eastAsia="Times New Roman"/>
        </w:rPr>
        <w:t xml:space="preserve">, Bret Easton Ellis’s </w:t>
      </w:r>
      <w:r w:rsidRPr="00BC705B">
        <w:rPr>
          <w:rFonts w:eastAsia="Times New Roman"/>
          <w:i/>
          <w:iCs/>
        </w:rPr>
        <w:t>Less Than Zero</w:t>
      </w:r>
      <w:r>
        <w:rPr>
          <w:rFonts w:eastAsia="Times New Roman"/>
          <w:iCs/>
        </w:rPr>
        <w:t xml:space="preserve"> (1985)</w:t>
      </w:r>
      <w:r w:rsidRPr="00BC705B">
        <w:rPr>
          <w:rFonts w:eastAsia="Times New Roman"/>
        </w:rPr>
        <w:t xml:space="preserve"> and</w:t>
      </w:r>
      <w:r>
        <w:rPr>
          <w:rFonts w:eastAsia="Times New Roman"/>
        </w:rPr>
        <w:t xml:space="preserve"> its sequel,</w:t>
      </w:r>
      <w:r w:rsidRPr="00BC705B">
        <w:rPr>
          <w:rFonts w:eastAsia="Times New Roman"/>
        </w:rPr>
        <w:t xml:space="preserve"> </w:t>
      </w:r>
      <w:r w:rsidRPr="00BC705B">
        <w:rPr>
          <w:rFonts w:eastAsia="Times New Roman"/>
          <w:i/>
          <w:iCs/>
        </w:rPr>
        <w:t>Imperial Bedrooms</w:t>
      </w:r>
      <w:r>
        <w:rPr>
          <w:rFonts w:eastAsia="Times New Roman"/>
          <w:i/>
          <w:iCs/>
        </w:rPr>
        <w:t xml:space="preserve"> </w:t>
      </w:r>
      <w:r>
        <w:rPr>
          <w:rFonts w:eastAsia="Times New Roman"/>
          <w:iCs/>
        </w:rPr>
        <w:t>(2010)</w:t>
      </w:r>
      <w:r w:rsidRPr="00BC705B">
        <w:rPr>
          <w:rFonts w:eastAsia="Times New Roman"/>
        </w:rPr>
        <w:t xml:space="preserve">, and the films </w:t>
      </w:r>
      <w:r w:rsidRPr="00BC705B">
        <w:rPr>
          <w:rFonts w:eastAsia="Times New Roman"/>
          <w:i/>
          <w:iCs/>
        </w:rPr>
        <w:t>Crimes and Misdemeanors</w:t>
      </w:r>
      <w:r>
        <w:rPr>
          <w:rFonts w:eastAsia="Times New Roman"/>
          <w:iCs/>
        </w:rPr>
        <w:t xml:space="preserve"> (1989) by Woody Allen</w:t>
      </w:r>
      <w:r w:rsidRPr="00BC705B">
        <w:rPr>
          <w:rFonts w:eastAsia="Times New Roman"/>
        </w:rPr>
        <w:t xml:space="preserve">, </w:t>
      </w:r>
      <w:r w:rsidRPr="00BC705B">
        <w:rPr>
          <w:rFonts w:eastAsia="Times New Roman"/>
          <w:i/>
          <w:iCs/>
        </w:rPr>
        <w:t>Death and the Maiden</w:t>
      </w:r>
      <w:r>
        <w:rPr>
          <w:rFonts w:eastAsia="Times New Roman"/>
          <w:iCs/>
        </w:rPr>
        <w:t xml:space="preserve"> (1994) by Roman Polanski</w:t>
      </w:r>
      <w:r w:rsidRPr="00BC705B">
        <w:rPr>
          <w:rFonts w:eastAsia="Times New Roman"/>
        </w:rPr>
        <w:t xml:space="preserve">, and </w:t>
      </w:r>
      <w:r w:rsidRPr="00BC705B">
        <w:rPr>
          <w:rFonts w:eastAsia="Times New Roman"/>
          <w:i/>
          <w:iCs/>
        </w:rPr>
        <w:t>Locke</w:t>
      </w:r>
      <w:r>
        <w:rPr>
          <w:rFonts w:eastAsia="Times New Roman"/>
          <w:i/>
          <w:iCs/>
        </w:rPr>
        <w:t xml:space="preserve"> </w:t>
      </w:r>
      <w:r>
        <w:rPr>
          <w:rFonts w:eastAsia="Times New Roman"/>
          <w:iCs/>
        </w:rPr>
        <w:t>(2013) by Steven Knight</w:t>
      </w:r>
      <w:r w:rsidRPr="00BC705B">
        <w:rPr>
          <w:rFonts w:eastAsia="Times New Roman"/>
        </w:rPr>
        <w:t xml:space="preserve">. Across these very different narratives, the course will return to a deceptively simple question: </w:t>
      </w:r>
      <w:r w:rsidRPr="00BC705B">
        <w:rPr>
          <w:rFonts w:eastAsia="Times New Roman"/>
          <w:bCs/>
        </w:rPr>
        <w:t>what does it really mean to own up to what we have done?</w:t>
      </w:r>
    </w:p>
    <w:p w14:paraId="21B0ED03" w14:textId="77777777" w:rsidR="00CD2937" w:rsidRDefault="00CD2937"/>
    <w:sectPr w:rsidR="00CD2937" w:rsidSect="00DF7683">
      <w:headerReference w:type="default" r:id="rId6"/>
      <w:pgSz w:w="11907" w:h="16839" w:code="9"/>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8AA42" w14:textId="77777777" w:rsidR="0057380D" w:rsidRDefault="0057380D" w:rsidP="00B71445">
      <w:pPr>
        <w:spacing w:after="0" w:line="240" w:lineRule="auto"/>
      </w:pPr>
      <w:r>
        <w:separator/>
      </w:r>
    </w:p>
  </w:endnote>
  <w:endnote w:type="continuationSeparator" w:id="0">
    <w:p w14:paraId="7907EB70" w14:textId="77777777" w:rsidR="0057380D" w:rsidRDefault="0057380D" w:rsidP="00B71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2D483" w14:textId="77777777" w:rsidR="0057380D" w:rsidRDefault="0057380D" w:rsidP="00B71445">
      <w:pPr>
        <w:spacing w:after="0" w:line="240" w:lineRule="auto"/>
      </w:pPr>
      <w:r>
        <w:separator/>
      </w:r>
    </w:p>
  </w:footnote>
  <w:footnote w:type="continuationSeparator" w:id="0">
    <w:p w14:paraId="097CECE7" w14:textId="77777777" w:rsidR="0057380D" w:rsidRDefault="0057380D" w:rsidP="00B71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4358" w14:textId="77777777" w:rsidR="00B71445" w:rsidRPr="00B71445" w:rsidRDefault="00B71445">
    <w:pPr>
      <w:pStyle w:val="lfej"/>
      <w:rPr>
        <w:lang w:val="hu-HU"/>
      </w:rPr>
    </w:pPr>
    <w:r>
      <w:t>Csat</w:t>
    </w:r>
    <w:r>
      <w:rPr>
        <w:lang w:val="hu-HU"/>
      </w:rPr>
      <w:t xml:space="preserve">ó Péter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05B"/>
    <w:rsid w:val="004C742E"/>
    <w:rsid w:val="004D12D1"/>
    <w:rsid w:val="0057380D"/>
    <w:rsid w:val="00597240"/>
    <w:rsid w:val="00A96A8B"/>
    <w:rsid w:val="00B71445"/>
    <w:rsid w:val="00BC705B"/>
    <w:rsid w:val="00CD2937"/>
    <w:rsid w:val="00DA5B16"/>
    <w:rsid w:val="00DF7683"/>
    <w:rsid w:val="00E4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34C5C"/>
  <w15:chartTrackingRefBased/>
  <w15:docId w15:val="{EC4DF4F2-5ED7-46E6-8F78-227CAB11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3">
    <w:name w:val="heading 3"/>
    <w:basedOn w:val="Norml"/>
    <w:link w:val="Cmsor3Char"/>
    <w:uiPriority w:val="9"/>
    <w:qFormat/>
    <w:rsid w:val="00BC705B"/>
    <w:pPr>
      <w:spacing w:before="100" w:beforeAutospacing="1" w:after="100" w:afterAutospacing="1" w:line="240" w:lineRule="auto"/>
      <w:outlineLvl w:val="2"/>
    </w:pPr>
    <w:rPr>
      <w:rFonts w:eastAsia="Times New Roman"/>
      <w:b/>
      <w:bCs/>
      <w:sz w:val="27"/>
      <w:szCs w:val="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BC705B"/>
    <w:rPr>
      <w:rFonts w:eastAsia="Times New Roman"/>
      <w:b/>
      <w:bCs/>
      <w:sz w:val="27"/>
      <w:szCs w:val="27"/>
    </w:rPr>
  </w:style>
  <w:style w:type="paragraph" w:styleId="NormlWeb">
    <w:name w:val="Normal (Web)"/>
    <w:basedOn w:val="Norml"/>
    <w:uiPriority w:val="99"/>
    <w:semiHidden/>
    <w:unhideWhenUsed/>
    <w:rsid w:val="00BC705B"/>
    <w:pPr>
      <w:spacing w:before="100" w:beforeAutospacing="1" w:after="100" w:afterAutospacing="1" w:line="240" w:lineRule="auto"/>
    </w:pPr>
    <w:rPr>
      <w:rFonts w:eastAsia="Times New Roman"/>
    </w:rPr>
  </w:style>
  <w:style w:type="character" w:styleId="Kiemels2">
    <w:name w:val="Strong"/>
    <w:basedOn w:val="Bekezdsalapbettpusa"/>
    <w:uiPriority w:val="22"/>
    <w:qFormat/>
    <w:rsid w:val="00BC705B"/>
    <w:rPr>
      <w:b/>
      <w:bCs/>
    </w:rPr>
  </w:style>
  <w:style w:type="character" w:styleId="Kiemels">
    <w:name w:val="Emphasis"/>
    <w:basedOn w:val="Bekezdsalapbettpusa"/>
    <w:uiPriority w:val="20"/>
    <w:qFormat/>
    <w:rsid w:val="00BC705B"/>
    <w:rPr>
      <w:i/>
      <w:iCs/>
    </w:rPr>
  </w:style>
  <w:style w:type="paragraph" w:styleId="lfej">
    <w:name w:val="header"/>
    <w:basedOn w:val="Norml"/>
    <w:link w:val="lfejChar"/>
    <w:uiPriority w:val="99"/>
    <w:unhideWhenUsed/>
    <w:rsid w:val="00B71445"/>
    <w:pPr>
      <w:tabs>
        <w:tab w:val="center" w:pos="4703"/>
        <w:tab w:val="right" w:pos="9406"/>
      </w:tabs>
      <w:spacing w:after="0" w:line="240" w:lineRule="auto"/>
    </w:pPr>
  </w:style>
  <w:style w:type="character" w:customStyle="1" w:styleId="lfejChar">
    <w:name w:val="Élőfej Char"/>
    <w:basedOn w:val="Bekezdsalapbettpusa"/>
    <w:link w:val="lfej"/>
    <w:uiPriority w:val="99"/>
    <w:rsid w:val="00B71445"/>
  </w:style>
  <w:style w:type="paragraph" w:styleId="llb">
    <w:name w:val="footer"/>
    <w:basedOn w:val="Norml"/>
    <w:link w:val="llbChar"/>
    <w:uiPriority w:val="99"/>
    <w:unhideWhenUsed/>
    <w:rsid w:val="00B71445"/>
    <w:pPr>
      <w:tabs>
        <w:tab w:val="center" w:pos="4703"/>
        <w:tab w:val="right" w:pos="9406"/>
      </w:tabs>
      <w:spacing w:after="0" w:line="240" w:lineRule="auto"/>
    </w:pPr>
  </w:style>
  <w:style w:type="character" w:customStyle="1" w:styleId="llbChar">
    <w:name w:val="Élőláb Char"/>
    <w:basedOn w:val="Bekezdsalapbettpusa"/>
    <w:link w:val="llb"/>
    <w:uiPriority w:val="99"/>
    <w:rsid w:val="00B71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6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Kiss Erika</cp:lastModifiedBy>
  <cp:revision>2</cp:revision>
  <dcterms:created xsi:type="dcterms:W3CDTF">2026-09-16T15:32:00Z</dcterms:created>
  <dcterms:modified xsi:type="dcterms:W3CDTF">2026-09-16T15:32:00Z</dcterms:modified>
</cp:coreProperties>
</file>