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E69" w:rsidRDefault="00290EB5" w:rsidP="000738BA">
      <w:pPr>
        <w:ind w:right="-199"/>
      </w:pPr>
      <w:r>
        <w:t>BTAN32002BA-K3</w:t>
      </w:r>
      <w:r w:rsidR="009D0E69">
        <w:t xml:space="preserve">; Code: </w:t>
      </w:r>
      <w:r>
        <w:t>01</w:t>
      </w:r>
      <w:r w:rsidR="000738BA" w:rsidRPr="008D5A4D">
        <w:t xml:space="preserve"> </w:t>
      </w:r>
    </w:p>
    <w:p w:rsidR="004C4B57" w:rsidRDefault="004C4B57" w:rsidP="000738BA">
      <w:pPr>
        <w:ind w:right="-199"/>
      </w:pPr>
      <w:r>
        <w:t>BTAN3204OMA</w:t>
      </w:r>
    </w:p>
    <w:p w:rsidR="000738BA" w:rsidRPr="008D5A4D" w:rsidRDefault="00290EB5" w:rsidP="000738BA">
      <w:pPr>
        <w:ind w:right="-199"/>
      </w:pPr>
      <w:r>
        <w:t xml:space="preserve">BRITISH SOCIETY AND GENDER: </w:t>
      </w:r>
      <w:r w:rsidR="000738BA" w:rsidRPr="008D5A4D">
        <w:t>INTRODUCTION TO GENDER STUDIES</w:t>
      </w:r>
      <w:r>
        <w:t>;</w:t>
      </w:r>
      <w:r w:rsidRPr="00290EB5">
        <w:t xml:space="preserve"> </w:t>
      </w:r>
      <w:r>
        <w:t>Lecture</w:t>
      </w:r>
    </w:p>
    <w:p w:rsidR="000738BA" w:rsidRDefault="000738BA" w:rsidP="000738BA">
      <w:r>
        <w:t xml:space="preserve">Year 3, BA; </w:t>
      </w:r>
      <w:r w:rsidR="00290EB5">
        <w:t>3 CREDITS</w:t>
      </w:r>
    </w:p>
    <w:p w:rsidR="005972D8" w:rsidRDefault="000738BA" w:rsidP="005972D8">
      <w:r>
        <w:t>British Studies track</w:t>
      </w:r>
    </w:p>
    <w:p w:rsidR="000738BA" w:rsidRDefault="00932828" w:rsidP="005972D8">
      <w:r>
        <w:t>Wed</w:t>
      </w:r>
      <w:r w:rsidR="000738BA">
        <w:t xml:space="preserve"> </w:t>
      </w:r>
      <w:r w:rsidR="00242876">
        <w:t>14</w:t>
      </w:r>
      <w:r w:rsidR="000738BA">
        <w:t>.00–</w:t>
      </w:r>
      <w:r w:rsidR="00242876">
        <w:t>15</w:t>
      </w:r>
      <w:r w:rsidR="00C31F53">
        <w:t>.40</w:t>
      </w:r>
    </w:p>
    <w:p w:rsidR="00C31F53" w:rsidRDefault="00BC23F4" w:rsidP="000738BA">
      <w:pPr>
        <w:ind w:right="-199"/>
      </w:pPr>
      <w:r>
        <w:t>Studio XIV</w:t>
      </w:r>
    </w:p>
    <w:p w:rsidR="00BC23F4" w:rsidRDefault="00BC23F4" w:rsidP="000738BA">
      <w:pPr>
        <w:ind w:right="-199"/>
      </w:pPr>
    </w:p>
    <w:p w:rsidR="00870033" w:rsidRDefault="00870033" w:rsidP="000738BA">
      <w:pPr>
        <w:ind w:right="-199"/>
      </w:pPr>
    </w:p>
    <w:p w:rsidR="000738BA" w:rsidRDefault="00932828" w:rsidP="000738BA">
      <w:pPr>
        <w:ind w:right="29"/>
        <w:jc w:val="right"/>
      </w:pPr>
      <w:r>
        <w:t>m</w:t>
      </w:r>
      <w:r w:rsidR="007E17DD">
        <w:t xml:space="preserve">ain lecturer: Nóra </w:t>
      </w:r>
      <w:r w:rsidR="000738BA">
        <w:t xml:space="preserve">Séllei </w:t>
      </w:r>
    </w:p>
    <w:p w:rsidR="00033874" w:rsidRDefault="00627721" w:rsidP="000738BA">
      <w:pPr>
        <w:ind w:right="29"/>
        <w:jc w:val="right"/>
      </w:pPr>
      <w:r>
        <w:t xml:space="preserve">further lecturers: </w:t>
      </w:r>
    </w:p>
    <w:p w:rsidR="00627721" w:rsidRDefault="00627721" w:rsidP="000738BA">
      <w:pPr>
        <w:ind w:right="29"/>
        <w:jc w:val="right"/>
      </w:pPr>
      <w:r>
        <w:t xml:space="preserve">Tamás Bényei, </w:t>
      </w:r>
      <w:r w:rsidR="00F915CD">
        <w:t>Brigitta Hudácskó</w:t>
      </w:r>
    </w:p>
    <w:p w:rsidR="000738BA" w:rsidRDefault="000738BA" w:rsidP="000738BA">
      <w:pPr>
        <w:ind w:right="29"/>
        <w:jc w:val="right"/>
      </w:pPr>
      <w:r>
        <w:t>Office: 11</w:t>
      </w:r>
      <w:r w:rsidR="00242876">
        <w:t>6</w:t>
      </w:r>
      <w:r>
        <w:t>/</w:t>
      </w:r>
      <w:r w:rsidR="00242876">
        <w:t>4</w:t>
      </w:r>
    </w:p>
    <w:p w:rsidR="000738BA" w:rsidRDefault="000738BA" w:rsidP="000738BA">
      <w:pPr>
        <w:ind w:right="29"/>
        <w:jc w:val="right"/>
      </w:pPr>
      <w:r>
        <w:t>Office hours:</w:t>
      </w:r>
    </w:p>
    <w:p w:rsidR="000738BA" w:rsidRDefault="00932828" w:rsidP="000738BA">
      <w:pPr>
        <w:ind w:right="29"/>
        <w:jc w:val="right"/>
      </w:pPr>
      <w:r>
        <w:t>Wed</w:t>
      </w:r>
      <w:r w:rsidR="000738BA">
        <w:t xml:space="preserve"> 1</w:t>
      </w:r>
      <w:r>
        <w:t>8</w:t>
      </w:r>
      <w:r w:rsidR="00290EB5">
        <w:t>–1</w:t>
      </w:r>
      <w:r>
        <w:t>9</w:t>
      </w:r>
    </w:p>
    <w:p w:rsidR="00242876" w:rsidRDefault="00932828" w:rsidP="000738BA">
      <w:pPr>
        <w:ind w:right="29"/>
        <w:jc w:val="right"/>
      </w:pPr>
      <w:r>
        <w:t>Thu</w:t>
      </w:r>
      <w:r w:rsidR="00242876">
        <w:t xml:space="preserve"> 1</w:t>
      </w:r>
      <w:r>
        <w:t>1</w:t>
      </w:r>
      <w:r w:rsidR="00242876">
        <w:t>-1</w:t>
      </w:r>
      <w:r>
        <w:t>2</w:t>
      </w:r>
    </w:p>
    <w:p w:rsidR="00BC23F4" w:rsidRDefault="00BC23F4" w:rsidP="00BC23F4">
      <w:pPr>
        <w:jc w:val="right"/>
        <w:rPr>
          <w:color w:val="000000"/>
          <w:szCs w:val="24"/>
        </w:rPr>
      </w:pPr>
      <w:r>
        <w:rPr>
          <w:color w:val="000000"/>
          <w:szCs w:val="24"/>
        </w:rPr>
        <w:t>Except when otherwise indicated at http://ieas.unideb.hu/sellei</w:t>
      </w:r>
    </w:p>
    <w:p w:rsidR="000738BA" w:rsidRDefault="000738BA" w:rsidP="000738BA">
      <w:pPr>
        <w:ind w:right="29"/>
        <w:jc w:val="right"/>
      </w:pPr>
      <w:r>
        <w:t>email: sellei.nora@arts.unideb.hu</w:t>
      </w:r>
    </w:p>
    <w:p w:rsidR="00290EB5" w:rsidRDefault="00870033" w:rsidP="00870033">
      <w:pPr>
        <w:ind w:right="29"/>
        <w:jc w:val="right"/>
      </w:pPr>
      <w:r>
        <w:t xml:space="preserve"> </w:t>
      </w:r>
    </w:p>
    <w:p w:rsidR="00290EB5" w:rsidRDefault="00290EB5" w:rsidP="000738BA">
      <w:pPr>
        <w:jc w:val="right"/>
        <w:sectPr w:rsidR="00290EB5" w:rsidSect="009A3DA2">
          <w:type w:val="continuous"/>
          <w:pgSz w:w="11909" w:h="16834" w:code="9"/>
          <w:pgMar w:top="1440" w:right="1800" w:bottom="1440" w:left="1800" w:header="708" w:footer="708" w:gutter="0"/>
          <w:cols w:num="2" w:space="708"/>
        </w:sectPr>
      </w:pPr>
    </w:p>
    <w:p w:rsidR="006D3502" w:rsidRDefault="00B869EB">
      <w:pPr>
        <w:pStyle w:val="BodyText2"/>
        <w:rPr>
          <w:b w:val="0"/>
          <w:sz w:val="22"/>
        </w:rPr>
      </w:pPr>
      <w:r w:rsidRPr="00B869EB">
        <w:rPr>
          <w:b w:val="0"/>
          <w:sz w:val="22"/>
        </w:rPr>
        <w:t xml:space="preserve">This course will explore how gender is constructed in and by society (history, sciences, psychoanalysis, language, teaching and the media), and will also investigate cultural texts like myths and literature. Students will be provided an insight into the approach that gender is a concept crucial to the understanding of our world, of the public and private relations that all of us (males and females) are participants in. Gender studies, thus, is an area that facilitates critical thinking in regard to the overt or latent gender bias of the institutional system, including also what is considered the private realm, very often misconceived as a “refuge from the political”. The course will also investigate cultural texts like certain passages from the Bible, myths, and fairy tales. The disciplinary approaches of the course will range from </w:t>
      </w:r>
      <w:r w:rsidR="00CB76F3">
        <w:rPr>
          <w:b w:val="0"/>
          <w:sz w:val="22"/>
        </w:rPr>
        <w:t>history</w:t>
      </w:r>
      <w:r w:rsidRPr="00B869EB">
        <w:rPr>
          <w:b w:val="0"/>
          <w:sz w:val="22"/>
        </w:rPr>
        <w:t xml:space="preserve"> and discourse theory to psychoanalysis, from linguistics through to cultural and literary studies. </w:t>
      </w:r>
    </w:p>
    <w:p w:rsidR="00C03618" w:rsidRDefault="00C03618">
      <w:pPr>
        <w:pStyle w:val="BodyText2"/>
        <w:rPr>
          <w:b w:val="0"/>
        </w:rPr>
      </w:pPr>
    </w:p>
    <w:p w:rsidR="00C03618" w:rsidRDefault="00CF137E" w:rsidP="009A3DA2">
      <w:pPr>
        <w:ind w:left="540" w:hanging="540"/>
        <w:jc w:val="both"/>
        <w:rPr>
          <w:b/>
          <w:u w:val="single"/>
        </w:rPr>
      </w:pPr>
      <w:r>
        <w:rPr>
          <w:b/>
          <w:u w:val="single"/>
        </w:rPr>
        <w:t>The course concludes in an exam.</w:t>
      </w:r>
      <w:r w:rsidR="009B1B59">
        <w:rPr>
          <w:b/>
          <w:u w:val="single"/>
        </w:rPr>
        <w:t xml:space="preserve"> </w:t>
      </w:r>
    </w:p>
    <w:p w:rsidR="009A3DA2" w:rsidRPr="00163047" w:rsidRDefault="009B1B59" w:rsidP="009A3DA2">
      <w:pPr>
        <w:ind w:left="540" w:hanging="540"/>
        <w:jc w:val="both"/>
        <w:rPr>
          <w:b/>
          <w:u w:val="single"/>
        </w:rPr>
      </w:pPr>
      <w:r>
        <w:rPr>
          <w:b/>
          <w:u w:val="single"/>
        </w:rPr>
        <w:t>Specificities of the exam:</w:t>
      </w:r>
    </w:p>
    <w:p w:rsidR="0024156F" w:rsidRPr="0024156F" w:rsidRDefault="0024156F" w:rsidP="009A3DA2">
      <w:pPr>
        <w:ind w:left="540" w:hanging="540"/>
        <w:jc w:val="both"/>
        <w:rPr>
          <w:b/>
        </w:rPr>
      </w:pPr>
      <w:r w:rsidRPr="00163047">
        <w:rPr>
          <w:b/>
          <w:u w:val="single"/>
        </w:rPr>
        <w:t>Format</w:t>
      </w:r>
      <w:r w:rsidRPr="0024156F">
        <w:rPr>
          <w:b/>
        </w:rPr>
        <w:t>: written</w:t>
      </w:r>
    </w:p>
    <w:p w:rsidR="0024156F" w:rsidRDefault="0024156F" w:rsidP="009A3DA2">
      <w:pPr>
        <w:ind w:left="540" w:hanging="540"/>
        <w:jc w:val="both"/>
        <w:rPr>
          <w:b/>
        </w:rPr>
      </w:pPr>
      <w:r w:rsidRPr="00163047">
        <w:rPr>
          <w:b/>
          <w:u w:val="single"/>
        </w:rPr>
        <w:t>Structure</w:t>
      </w:r>
      <w:r>
        <w:t>: t</w:t>
      </w:r>
      <w:r w:rsidR="00E962C2" w:rsidRPr="00E962C2">
        <w:t xml:space="preserve">he </w:t>
      </w:r>
      <w:r w:rsidR="00E962C2" w:rsidRPr="004C1FD6">
        <w:rPr>
          <w:b/>
        </w:rPr>
        <w:t>exam</w:t>
      </w:r>
      <w:r w:rsidR="00E962C2" w:rsidRPr="00E962C2">
        <w:t xml:space="preserve"> will consist of </w:t>
      </w:r>
      <w:r w:rsidR="00E962C2" w:rsidRPr="004C1FD6">
        <w:rPr>
          <w:b/>
        </w:rPr>
        <w:t>two parts</w:t>
      </w:r>
      <w:r>
        <w:rPr>
          <w:b/>
        </w:rPr>
        <w:t>.</w:t>
      </w:r>
    </w:p>
    <w:p w:rsidR="00C03618" w:rsidRDefault="0024156F" w:rsidP="009A3DA2">
      <w:pPr>
        <w:ind w:left="540" w:hanging="540"/>
        <w:jc w:val="both"/>
      </w:pPr>
      <w:r w:rsidRPr="00163047">
        <w:rPr>
          <w:b/>
          <w:u w:val="single"/>
        </w:rPr>
        <w:t>Grading policy</w:t>
      </w:r>
      <w:r>
        <w:rPr>
          <w:b/>
        </w:rPr>
        <w:t xml:space="preserve">: </w:t>
      </w:r>
      <w:r w:rsidR="004C1FD6">
        <w:t>you</w:t>
      </w:r>
      <w:r w:rsidR="00E962C2" w:rsidRPr="00E962C2">
        <w:t xml:space="preserve"> will have </w:t>
      </w:r>
      <w:r w:rsidR="00E962C2" w:rsidRPr="004C1FD6">
        <w:rPr>
          <w:b/>
        </w:rPr>
        <w:t>to reach the pass level in each component to pass the exam</w:t>
      </w:r>
      <w:r w:rsidR="00E962C2">
        <w:t>. In case you manage to pass</w:t>
      </w:r>
      <w:r w:rsidR="004C1FD6">
        <w:t xml:space="preserve"> one component out of the two</w:t>
      </w:r>
      <w:r w:rsidR="00E962C2">
        <w:t xml:space="preserve">, there will be no need to re-sit </w:t>
      </w:r>
      <w:r w:rsidR="004C1FD6">
        <w:t xml:space="preserve">both parts: </w:t>
      </w:r>
      <w:r w:rsidR="00E962C2">
        <w:t>the one you have already passed</w:t>
      </w:r>
      <w:r w:rsidR="004C1FD6">
        <w:t xml:space="preserve"> will be accepted as part of your re-sit</w:t>
      </w:r>
      <w:r w:rsidR="00E962C2">
        <w:t>.</w:t>
      </w:r>
      <w:r w:rsidR="004C1FD6">
        <w:t xml:space="preserve"> But if you wish, you can take a re-sit in both parts. In th</w:t>
      </w:r>
      <w:r w:rsidR="00CF137E">
        <w:t>e latter</w:t>
      </w:r>
      <w:r w:rsidR="004C1FD6">
        <w:t xml:space="preserve"> case, however, </w:t>
      </w:r>
      <w:r>
        <w:t>it is the two parts of the re-sit that will be considered.</w:t>
      </w:r>
    </w:p>
    <w:p w:rsidR="00C03618" w:rsidRDefault="00242876" w:rsidP="009A3DA2">
      <w:pPr>
        <w:ind w:left="540" w:hanging="540"/>
        <w:jc w:val="both"/>
        <w:rPr>
          <w:b/>
          <w:u w:val="single"/>
        </w:rPr>
      </w:pPr>
      <w:r>
        <w:rPr>
          <w:b/>
          <w:u w:val="single"/>
        </w:rPr>
        <w:t>Students must be aware that their linguistic proficiency will contribute to their grade.</w:t>
      </w:r>
    </w:p>
    <w:p w:rsidR="0024156F" w:rsidRPr="00163047" w:rsidRDefault="0024156F" w:rsidP="009A3DA2">
      <w:pPr>
        <w:ind w:left="540" w:hanging="540"/>
        <w:jc w:val="both"/>
        <w:rPr>
          <w:b/>
          <w:u w:val="single"/>
        </w:rPr>
      </w:pPr>
      <w:r w:rsidRPr="00163047">
        <w:rPr>
          <w:b/>
          <w:u w:val="single"/>
        </w:rPr>
        <w:t xml:space="preserve">The description of the exam </w:t>
      </w:r>
    </w:p>
    <w:p w:rsidR="00E962C2" w:rsidRPr="004C1FD6" w:rsidRDefault="004C1FD6" w:rsidP="009A3DA2">
      <w:pPr>
        <w:ind w:left="540" w:hanging="540"/>
        <w:jc w:val="both"/>
        <w:rPr>
          <w:i/>
        </w:rPr>
      </w:pPr>
      <w:r w:rsidRPr="004C1FD6">
        <w:rPr>
          <w:i/>
        </w:rPr>
        <w:t xml:space="preserve">Part 1: </w:t>
      </w:r>
    </w:p>
    <w:p w:rsidR="004C1FD6" w:rsidRDefault="004C1FD6" w:rsidP="00594049">
      <w:pPr>
        <w:tabs>
          <w:tab w:val="left" w:pos="8931"/>
        </w:tabs>
        <w:ind w:left="540" w:right="-58" w:hanging="540"/>
        <w:jc w:val="both"/>
      </w:pPr>
      <w:r>
        <w:rPr>
          <w:i/>
        </w:rPr>
        <w:t xml:space="preserve">The test on the </w:t>
      </w:r>
      <w:r w:rsidR="00D9790D">
        <w:rPr>
          <w:i/>
        </w:rPr>
        <w:t>required</w:t>
      </w:r>
      <w:r w:rsidR="00345E13">
        <w:rPr>
          <w:i/>
        </w:rPr>
        <w:t xml:space="preserve"> </w:t>
      </w:r>
      <w:r w:rsidR="0024156F">
        <w:rPr>
          <w:i/>
        </w:rPr>
        <w:t xml:space="preserve">secondary </w:t>
      </w:r>
      <w:r w:rsidR="009A3DA2">
        <w:rPr>
          <w:i/>
        </w:rPr>
        <w:t>reading</w:t>
      </w:r>
      <w:r>
        <w:rPr>
          <w:i/>
        </w:rPr>
        <w:t>s</w:t>
      </w:r>
      <w:r w:rsidR="009A3DA2">
        <w:t xml:space="preserve"> </w:t>
      </w:r>
      <w:r>
        <w:t xml:space="preserve">will consist of questions pertaining to the readings. The maximum score that can be achieved in this part will be </w:t>
      </w:r>
      <w:r w:rsidR="0077394A" w:rsidRPr="0077394A">
        <w:rPr>
          <w:b/>
        </w:rPr>
        <w:t>20</w:t>
      </w:r>
      <w:r>
        <w:t xml:space="preserve"> out of which you must reach at least </w:t>
      </w:r>
      <w:r w:rsidRPr="0024156F">
        <w:rPr>
          <w:b/>
        </w:rPr>
        <w:t>1</w:t>
      </w:r>
      <w:r w:rsidR="0077394A">
        <w:rPr>
          <w:b/>
        </w:rPr>
        <w:t>2</w:t>
      </w:r>
      <w:r>
        <w:t xml:space="preserve"> to pass </w:t>
      </w:r>
      <w:r w:rsidRPr="00CF137E">
        <w:rPr>
          <w:b/>
        </w:rPr>
        <w:t>this</w:t>
      </w:r>
      <w:r>
        <w:t xml:space="preserve"> </w:t>
      </w:r>
      <w:r w:rsidR="00DC7008">
        <w:t>section</w:t>
      </w:r>
      <w:r>
        <w:t>.</w:t>
      </w:r>
    </w:p>
    <w:p w:rsidR="004C1FD6" w:rsidRDefault="004C1FD6" w:rsidP="00594049">
      <w:pPr>
        <w:tabs>
          <w:tab w:val="left" w:pos="8931"/>
        </w:tabs>
        <w:ind w:left="540" w:hanging="540"/>
        <w:jc w:val="both"/>
        <w:rPr>
          <w:i/>
        </w:rPr>
      </w:pPr>
      <w:r>
        <w:rPr>
          <w:i/>
        </w:rPr>
        <w:t xml:space="preserve">Part 2: </w:t>
      </w:r>
    </w:p>
    <w:p w:rsidR="006B0085" w:rsidRDefault="004C1FD6" w:rsidP="00594049">
      <w:pPr>
        <w:tabs>
          <w:tab w:val="left" w:pos="8931"/>
        </w:tabs>
        <w:ind w:left="540" w:hanging="540"/>
        <w:jc w:val="both"/>
      </w:pPr>
      <w:r w:rsidRPr="0024156F">
        <w:rPr>
          <w:i/>
        </w:rPr>
        <w:t>The test on the study material</w:t>
      </w:r>
      <w:r w:rsidR="00916EEB">
        <w:t xml:space="preserve"> will be </w:t>
      </w:r>
      <w:r w:rsidR="00163047">
        <w:t>based</w:t>
      </w:r>
      <w:r w:rsidR="0024156F">
        <w:t xml:space="preserve"> on</w:t>
      </w:r>
      <w:r w:rsidR="009A3DA2">
        <w:t xml:space="preserve"> </w:t>
      </w:r>
      <w:r w:rsidR="00E135D0">
        <w:t>the</w:t>
      </w:r>
      <w:r w:rsidR="00594049">
        <w:t xml:space="preserve"> lecture course</w:t>
      </w:r>
      <w:r w:rsidR="0024156F">
        <w:t xml:space="preserve">. The maximum score achievable in this part of the exam is </w:t>
      </w:r>
      <w:r w:rsidR="0024156F" w:rsidRPr="0024156F">
        <w:rPr>
          <w:b/>
        </w:rPr>
        <w:t>8</w:t>
      </w:r>
      <w:r w:rsidR="0077394A">
        <w:rPr>
          <w:b/>
        </w:rPr>
        <w:t>0</w:t>
      </w:r>
      <w:r w:rsidR="0024156F">
        <w:t xml:space="preserve">, and you will have to reach at least </w:t>
      </w:r>
      <w:r w:rsidR="0077394A">
        <w:rPr>
          <w:b/>
        </w:rPr>
        <w:t>49</w:t>
      </w:r>
      <w:r w:rsidR="0024156F">
        <w:t xml:space="preserve"> to pass </w:t>
      </w:r>
      <w:r w:rsidR="0024156F" w:rsidRPr="00CF137E">
        <w:rPr>
          <w:b/>
        </w:rPr>
        <w:t>this</w:t>
      </w:r>
      <w:r w:rsidR="0024156F">
        <w:t xml:space="preserve"> section. </w:t>
      </w:r>
    </w:p>
    <w:p w:rsidR="00C03618" w:rsidRDefault="00C03618" w:rsidP="00594049">
      <w:pPr>
        <w:tabs>
          <w:tab w:val="left" w:pos="8931"/>
        </w:tabs>
        <w:ind w:left="540" w:hanging="540"/>
        <w:jc w:val="both"/>
      </w:pPr>
    </w:p>
    <w:p w:rsidR="00BD568E" w:rsidRDefault="006B0085" w:rsidP="00BD568E">
      <w:pPr>
        <w:tabs>
          <w:tab w:val="left" w:pos="0"/>
          <w:tab w:val="left" w:pos="8931"/>
        </w:tabs>
        <w:spacing w:line="280" w:lineRule="exact"/>
        <w:jc w:val="both"/>
      </w:pPr>
      <w:r w:rsidRPr="006B0085">
        <w:t xml:space="preserve">In case you wish to start preparing for the exam during term time, you are kindly advised to read the pertaining secondary readings for the individual upcoming lectures, and </w:t>
      </w:r>
      <w:r w:rsidR="00CB76F3">
        <w:t>at each lecture you will be given the chance (but it will not be compulsory) to write the relevant mini test on the pertaining required secondary reading</w:t>
      </w:r>
      <w:r w:rsidRPr="006B0085">
        <w:t>.</w:t>
      </w:r>
    </w:p>
    <w:p w:rsidR="00C03618" w:rsidRDefault="00C03618" w:rsidP="00BD568E">
      <w:pPr>
        <w:tabs>
          <w:tab w:val="left" w:pos="0"/>
          <w:tab w:val="left" w:pos="8931"/>
        </w:tabs>
        <w:spacing w:line="280" w:lineRule="exact"/>
        <w:jc w:val="both"/>
        <w:rPr>
          <w:b/>
        </w:rPr>
      </w:pPr>
    </w:p>
    <w:p w:rsidR="00836D9D" w:rsidRDefault="006B0085" w:rsidP="00BD568E">
      <w:pPr>
        <w:tabs>
          <w:tab w:val="left" w:pos="0"/>
          <w:tab w:val="left" w:pos="8931"/>
        </w:tabs>
        <w:spacing w:line="280" w:lineRule="exact"/>
        <w:jc w:val="both"/>
      </w:pPr>
      <w:r>
        <w:t>Most of t</w:t>
      </w:r>
      <w:r w:rsidR="00BD568E" w:rsidRPr="00163047">
        <w:t xml:space="preserve">he </w:t>
      </w:r>
      <w:r w:rsidR="00D9790D">
        <w:t>required</w:t>
      </w:r>
      <w:r>
        <w:t xml:space="preserve"> secondary</w:t>
      </w:r>
      <w:r w:rsidR="00BD568E" w:rsidRPr="00163047">
        <w:t xml:space="preserve"> readings </w:t>
      </w:r>
      <w:r w:rsidR="007F09B4" w:rsidRPr="00163047">
        <w:t>are</w:t>
      </w:r>
      <w:r w:rsidR="00916EEB">
        <w:t xml:space="preserve"> avail</w:t>
      </w:r>
      <w:r w:rsidR="00BD568E" w:rsidRPr="00163047">
        <w:t xml:space="preserve">able </w:t>
      </w:r>
      <w:r w:rsidR="007F09B4" w:rsidRPr="00163047">
        <w:t xml:space="preserve">in the </w:t>
      </w:r>
      <w:r w:rsidR="007F09B4" w:rsidRPr="006B0085">
        <w:rPr>
          <w:i/>
        </w:rPr>
        <w:t xml:space="preserve">Gender Studies </w:t>
      </w:r>
      <w:r w:rsidR="00836D9D" w:rsidRPr="006B0085">
        <w:rPr>
          <w:i/>
        </w:rPr>
        <w:t>Reading P</w:t>
      </w:r>
      <w:r w:rsidR="007F09B4" w:rsidRPr="006B0085">
        <w:rPr>
          <w:i/>
        </w:rPr>
        <w:t>acket</w:t>
      </w:r>
      <w:r w:rsidR="007F09B4" w:rsidRPr="00163047">
        <w:t xml:space="preserve"> (distributed in the first lecture by the lecturer, and to be returned to the library at the end of the course</w:t>
      </w:r>
      <w:r w:rsidR="00836D9D" w:rsidRPr="00163047">
        <w:t>, OR available as a pdf file in Rm 101 of the Institute library</w:t>
      </w:r>
      <w:r w:rsidR="007F09B4" w:rsidRPr="00163047">
        <w:t>)</w:t>
      </w:r>
      <w:r w:rsidR="00836D9D" w:rsidRPr="00163047">
        <w:t xml:space="preserve">; </w:t>
      </w:r>
      <w:r w:rsidR="00836D9D" w:rsidRPr="00163047">
        <w:lastRenderedPageBreak/>
        <w:t>some materials a</w:t>
      </w:r>
      <w:r w:rsidR="001A4181" w:rsidRPr="00163047">
        <w:t>r</w:t>
      </w:r>
      <w:r w:rsidR="00836D9D" w:rsidRPr="00163047">
        <w:t>e</w:t>
      </w:r>
      <w:r w:rsidR="001A4181" w:rsidRPr="00163047">
        <w:t xml:space="preserve"> uploaded on </w:t>
      </w:r>
      <w:r w:rsidR="008757D6" w:rsidRPr="00163047">
        <w:t>the lecturer’s</w:t>
      </w:r>
      <w:r w:rsidR="001A4181" w:rsidRPr="00163047">
        <w:t xml:space="preserve"> “current courses” website: </w:t>
      </w:r>
      <w:hyperlink r:id="rId7" w:history="1">
        <w:r w:rsidR="005D33BC" w:rsidRPr="00163047">
          <w:rPr>
            <w:rStyle w:val="Hyperlink"/>
          </w:rPr>
          <w:t>http://ieas.unideb.hu/index.php?p=487&amp;l=en</w:t>
        </w:r>
      </w:hyperlink>
      <w:r w:rsidR="00836D9D" w:rsidRPr="00163047">
        <w:t>, and the availability of some further materials is indicated on the very same webpage.</w:t>
      </w:r>
    </w:p>
    <w:p w:rsidR="00290EB5" w:rsidRDefault="00290EB5" w:rsidP="00BD568E">
      <w:pPr>
        <w:tabs>
          <w:tab w:val="left" w:pos="0"/>
          <w:tab w:val="left" w:pos="8931"/>
        </w:tabs>
        <w:spacing w:line="280" w:lineRule="exact"/>
        <w:jc w:val="both"/>
        <w:rPr>
          <w:b/>
        </w:rPr>
      </w:pPr>
    </w:p>
    <w:p w:rsidR="0024156F" w:rsidRDefault="00BD568E" w:rsidP="00BD568E">
      <w:pPr>
        <w:tabs>
          <w:tab w:val="left" w:pos="0"/>
          <w:tab w:val="left" w:pos="8931"/>
        </w:tabs>
        <w:spacing w:line="280" w:lineRule="exact"/>
        <w:jc w:val="both"/>
        <w:rPr>
          <w:b/>
        </w:rPr>
      </w:pPr>
      <w:r>
        <w:rPr>
          <w:b/>
        </w:rPr>
        <w:t>GRAD</w:t>
      </w:r>
      <w:r w:rsidRPr="00CF6A0F">
        <w:rPr>
          <w:b/>
        </w:rPr>
        <w:t xml:space="preserve">ING </w:t>
      </w:r>
      <w:r w:rsidR="0024156F">
        <w:rPr>
          <w:b/>
        </w:rPr>
        <w:t>CHART</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1378"/>
        <w:gridCol w:w="1381"/>
        <w:gridCol w:w="1381"/>
        <w:gridCol w:w="1381"/>
        <w:gridCol w:w="1383"/>
      </w:tblGrid>
      <w:tr w:rsidR="0024156F" w:rsidRPr="00B9500A" w:rsidTr="00B9500A">
        <w:tc>
          <w:tcPr>
            <w:tcW w:w="1420" w:type="dxa"/>
          </w:tcPr>
          <w:p w:rsidR="0024156F" w:rsidRPr="00B9500A" w:rsidRDefault="0024156F" w:rsidP="00B9500A">
            <w:pPr>
              <w:tabs>
                <w:tab w:val="left" w:pos="0"/>
                <w:tab w:val="left" w:pos="8931"/>
              </w:tabs>
              <w:spacing w:line="280" w:lineRule="exact"/>
              <w:jc w:val="both"/>
              <w:rPr>
                <w:b/>
              </w:rPr>
            </w:pPr>
            <w:r w:rsidRPr="00B9500A">
              <w:rPr>
                <w:b/>
              </w:rPr>
              <w:t>Score</w:t>
            </w:r>
          </w:p>
        </w:tc>
        <w:tc>
          <w:tcPr>
            <w:tcW w:w="1421" w:type="dxa"/>
          </w:tcPr>
          <w:p w:rsidR="0024156F" w:rsidRPr="00B9500A" w:rsidRDefault="0024156F" w:rsidP="00B9500A">
            <w:pPr>
              <w:tabs>
                <w:tab w:val="left" w:pos="0"/>
                <w:tab w:val="left" w:pos="8931"/>
              </w:tabs>
              <w:spacing w:line="280" w:lineRule="exact"/>
              <w:jc w:val="center"/>
              <w:rPr>
                <w:b/>
              </w:rPr>
            </w:pPr>
            <w:r w:rsidRPr="00B9500A">
              <w:rPr>
                <w:b/>
              </w:rPr>
              <w:t>1-60</w:t>
            </w:r>
          </w:p>
        </w:tc>
        <w:tc>
          <w:tcPr>
            <w:tcW w:w="1421" w:type="dxa"/>
          </w:tcPr>
          <w:p w:rsidR="0024156F" w:rsidRPr="00B9500A" w:rsidRDefault="0024156F" w:rsidP="00B9500A">
            <w:pPr>
              <w:tabs>
                <w:tab w:val="left" w:pos="0"/>
                <w:tab w:val="left" w:pos="8931"/>
              </w:tabs>
              <w:spacing w:line="280" w:lineRule="exact"/>
              <w:jc w:val="center"/>
              <w:rPr>
                <w:b/>
              </w:rPr>
            </w:pPr>
            <w:r w:rsidRPr="00B9500A">
              <w:rPr>
                <w:b/>
              </w:rPr>
              <w:t>61-70</w:t>
            </w:r>
          </w:p>
        </w:tc>
        <w:tc>
          <w:tcPr>
            <w:tcW w:w="1421" w:type="dxa"/>
          </w:tcPr>
          <w:p w:rsidR="0024156F" w:rsidRPr="00B9500A" w:rsidRDefault="0024156F" w:rsidP="00B9500A">
            <w:pPr>
              <w:tabs>
                <w:tab w:val="left" w:pos="0"/>
                <w:tab w:val="left" w:pos="8931"/>
              </w:tabs>
              <w:spacing w:line="280" w:lineRule="exact"/>
              <w:jc w:val="center"/>
              <w:rPr>
                <w:b/>
              </w:rPr>
            </w:pPr>
            <w:r w:rsidRPr="00B9500A">
              <w:rPr>
                <w:b/>
              </w:rPr>
              <w:t>71-80</w:t>
            </w:r>
          </w:p>
        </w:tc>
        <w:tc>
          <w:tcPr>
            <w:tcW w:w="1421" w:type="dxa"/>
          </w:tcPr>
          <w:p w:rsidR="0024156F" w:rsidRPr="00B9500A" w:rsidRDefault="0024156F" w:rsidP="00B9500A">
            <w:pPr>
              <w:tabs>
                <w:tab w:val="left" w:pos="0"/>
                <w:tab w:val="left" w:pos="8931"/>
              </w:tabs>
              <w:spacing w:line="280" w:lineRule="exact"/>
              <w:jc w:val="center"/>
              <w:rPr>
                <w:b/>
              </w:rPr>
            </w:pPr>
            <w:r w:rsidRPr="00B9500A">
              <w:rPr>
                <w:b/>
              </w:rPr>
              <w:t>81-90</w:t>
            </w:r>
          </w:p>
        </w:tc>
        <w:tc>
          <w:tcPr>
            <w:tcW w:w="1421" w:type="dxa"/>
          </w:tcPr>
          <w:p w:rsidR="0024156F" w:rsidRPr="00B9500A" w:rsidRDefault="0024156F" w:rsidP="00B9500A">
            <w:pPr>
              <w:tabs>
                <w:tab w:val="left" w:pos="0"/>
                <w:tab w:val="left" w:pos="8931"/>
              </w:tabs>
              <w:spacing w:line="280" w:lineRule="exact"/>
              <w:jc w:val="center"/>
              <w:rPr>
                <w:b/>
              </w:rPr>
            </w:pPr>
            <w:r w:rsidRPr="00B9500A">
              <w:rPr>
                <w:b/>
              </w:rPr>
              <w:t>91-100</w:t>
            </w:r>
          </w:p>
        </w:tc>
      </w:tr>
      <w:tr w:rsidR="0024156F" w:rsidRPr="00B9500A" w:rsidTr="00B9500A">
        <w:tc>
          <w:tcPr>
            <w:tcW w:w="1420" w:type="dxa"/>
          </w:tcPr>
          <w:p w:rsidR="0024156F" w:rsidRPr="00B9500A" w:rsidRDefault="0024156F" w:rsidP="00B9500A">
            <w:pPr>
              <w:tabs>
                <w:tab w:val="left" w:pos="0"/>
                <w:tab w:val="left" w:pos="8931"/>
              </w:tabs>
              <w:spacing w:line="280" w:lineRule="exact"/>
              <w:jc w:val="both"/>
              <w:rPr>
                <w:b/>
              </w:rPr>
            </w:pPr>
            <w:r w:rsidRPr="00B9500A">
              <w:rPr>
                <w:b/>
              </w:rPr>
              <w:t>Grade</w:t>
            </w:r>
          </w:p>
        </w:tc>
        <w:tc>
          <w:tcPr>
            <w:tcW w:w="1421" w:type="dxa"/>
          </w:tcPr>
          <w:p w:rsidR="0024156F" w:rsidRPr="00B9500A" w:rsidRDefault="0024156F" w:rsidP="00B9500A">
            <w:pPr>
              <w:tabs>
                <w:tab w:val="left" w:pos="0"/>
                <w:tab w:val="left" w:pos="8931"/>
              </w:tabs>
              <w:spacing w:line="280" w:lineRule="exact"/>
              <w:jc w:val="center"/>
              <w:rPr>
                <w:b/>
              </w:rPr>
            </w:pPr>
            <w:r w:rsidRPr="00B9500A">
              <w:rPr>
                <w:b/>
              </w:rPr>
              <w:t>1</w:t>
            </w:r>
          </w:p>
        </w:tc>
        <w:tc>
          <w:tcPr>
            <w:tcW w:w="1421" w:type="dxa"/>
          </w:tcPr>
          <w:p w:rsidR="0024156F" w:rsidRPr="00B9500A" w:rsidRDefault="0024156F" w:rsidP="00B9500A">
            <w:pPr>
              <w:tabs>
                <w:tab w:val="left" w:pos="0"/>
                <w:tab w:val="left" w:pos="8931"/>
              </w:tabs>
              <w:spacing w:line="280" w:lineRule="exact"/>
              <w:jc w:val="center"/>
              <w:rPr>
                <w:b/>
              </w:rPr>
            </w:pPr>
            <w:r w:rsidRPr="00B9500A">
              <w:rPr>
                <w:b/>
              </w:rPr>
              <w:t>2</w:t>
            </w:r>
          </w:p>
        </w:tc>
        <w:tc>
          <w:tcPr>
            <w:tcW w:w="1421" w:type="dxa"/>
          </w:tcPr>
          <w:p w:rsidR="0024156F" w:rsidRPr="00B9500A" w:rsidRDefault="0024156F" w:rsidP="00B9500A">
            <w:pPr>
              <w:tabs>
                <w:tab w:val="left" w:pos="0"/>
                <w:tab w:val="left" w:pos="8931"/>
              </w:tabs>
              <w:spacing w:line="280" w:lineRule="exact"/>
              <w:jc w:val="center"/>
              <w:rPr>
                <w:b/>
              </w:rPr>
            </w:pPr>
            <w:r w:rsidRPr="00B9500A">
              <w:rPr>
                <w:b/>
              </w:rPr>
              <w:t>3</w:t>
            </w:r>
          </w:p>
        </w:tc>
        <w:tc>
          <w:tcPr>
            <w:tcW w:w="1421" w:type="dxa"/>
          </w:tcPr>
          <w:p w:rsidR="0024156F" w:rsidRPr="00B9500A" w:rsidRDefault="0024156F" w:rsidP="00B9500A">
            <w:pPr>
              <w:tabs>
                <w:tab w:val="left" w:pos="0"/>
                <w:tab w:val="left" w:pos="8931"/>
              </w:tabs>
              <w:spacing w:line="280" w:lineRule="exact"/>
              <w:jc w:val="center"/>
              <w:rPr>
                <w:b/>
              </w:rPr>
            </w:pPr>
            <w:r w:rsidRPr="00B9500A">
              <w:rPr>
                <w:b/>
              </w:rPr>
              <w:t>4</w:t>
            </w:r>
          </w:p>
        </w:tc>
        <w:tc>
          <w:tcPr>
            <w:tcW w:w="1421" w:type="dxa"/>
          </w:tcPr>
          <w:p w:rsidR="0024156F" w:rsidRPr="00B9500A" w:rsidRDefault="0024156F" w:rsidP="00B9500A">
            <w:pPr>
              <w:tabs>
                <w:tab w:val="left" w:pos="0"/>
                <w:tab w:val="left" w:pos="8931"/>
              </w:tabs>
              <w:spacing w:line="280" w:lineRule="exact"/>
              <w:jc w:val="center"/>
              <w:rPr>
                <w:b/>
              </w:rPr>
            </w:pPr>
            <w:r w:rsidRPr="00B9500A">
              <w:rPr>
                <w:b/>
              </w:rPr>
              <w:t>5</w:t>
            </w:r>
          </w:p>
        </w:tc>
      </w:tr>
    </w:tbl>
    <w:p w:rsidR="00004554" w:rsidRDefault="00004554" w:rsidP="00B75DF8">
      <w:pPr>
        <w:tabs>
          <w:tab w:val="left" w:pos="0"/>
          <w:tab w:val="left" w:pos="8931"/>
        </w:tabs>
        <w:spacing w:line="280" w:lineRule="exact"/>
        <w:jc w:val="both"/>
        <w:rPr>
          <w:b/>
        </w:rPr>
      </w:pPr>
    </w:p>
    <w:p w:rsidR="00163047" w:rsidRDefault="00345E13" w:rsidP="00B75DF8">
      <w:pPr>
        <w:tabs>
          <w:tab w:val="left" w:pos="0"/>
          <w:tab w:val="left" w:pos="8931"/>
        </w:tabs>
        <w:spacing w:line="280" w:lineRule="exact"/>
        <w:jc w:val="both"/>
        <w:rPr>
          <w:b/>
        </w:rPr>
      </w:pPr>
      <w:r>
        <w:rPr>
          <w:b/>
        </w:rPr>
        <w:t>Lecture schedule, including</w:t>
      </w:r>
      <w:r w:rsidR="006B0085">
        <w:rPr>
          <w:b/>
        </w:rPr>
        <w:t xml:space="preserve"> </w:t>
      </w:r>
      <w:r>
        <w:rPr>
          <w:b/>
        </w:rPr>
        <w:t>the secondary reading</w:t>
      </w:r>
      <w:r w:rsidR="00163047">
        <w:rPr>
          <w:b/>
        </w:rPr>
        <w:t>s</w:t>
      </w:r>
      <w:r w:rsidRPr="00345E13">
        <w:rPr>
          <w:b/>
        </w:rPr>
        <w:t xml:space="preserve"> </w:t>
      </w:r>
      <w:r>
        <w:rPr>
          <w:b/>
        </w:rPr>
        <w:t>pertaining to the topics</w:t>
      </w:r>
      <w:r w:rsidR="006B0085">
        <w:rPr>
          <w:b/>
        </w:rPr>
        <w:t>:</w:t>
      </w:r>
    </w:p>
    <w:p w:rsidR="00BB6BAD" w:rsidRDefault="00BB6BAD" w:rsidP="00B75DF8">
      <w:pPr>
        <w:tabs>
          <w:tab w:val="left" w:pos="0"/>
          <w:tab w:val="left" w:pos="8931"/>
        </w:tabs>
        <w:spacing w:line="280" w:lineRule="exact"/>
        <w:jc w:val="both"/>
        <w:rPr>
          <w:b/>
        </w:rPr>
      </w:pPr>
    </w:p>
    <w:tbl>
      <w:tblPr>
        <w:tblW w:w="0" w:type="auto"/>
        <w:tblInd w:w="1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107" w:type="dxa"/>
          <w:right w:w="107" w:type="dxa"/>
        </w:tblCellMar>
        <w:tblLook w:val="00A0" w:firstRow="1" w:lastRow="0" w:firstColumn="1" w:lastColumn="0" w:noHBand="0" w:noVBand="0"/>
      </w:tblPr>
      <w:tblGrid>
        <w:gridCol w:w="801"/>
        <w:gridCol w:w="814"/>
        <w:gridCol w:w="6541"/>
      </w:tblGrid>
      <w:tr w:rsidR="00CB76F3">
        <w:trPr>
          <w:trHeight w:val="50"/>
        </w:trPr>
        <w:tc>
          <w:tcPr>
            <w:tcW w:w="0" w:type="auto"/>
            <w:shd w:val="pct60" w:color="000000" w:fill="FFFFFF"/>
          </w:tcPr>
          <w:p w:rsidR="00CB76F3" w:rsidRDefault="00CB76F3" w:rsidP="00B75DF8">
            <w:pPr>
              <w:tabs>
                <w:tab w:val="left" w:pos="8931"/>
              </w:tabs>
              <w:jc w:val="both"/>
              <w:rPr>
                <w:b/>
                <w:color w:val="FFFFFF"/>
              </w:rPr>
            </w:pPr>
            <w:r>
              <w:rPr>
                <w:b/>
                <w:color w:val="FFFFFF"/>
              </w:rPr>
              <w:t>Week</w:t>
            </w:r>
          </w:p>
        </w:tc>
        <w:tc>
          <w:tcPr>
            <w:tcW w:w="0" w:type="auto"/>
            <w:shd w:val="pct60" w:color="000000" w:fill="FFFFFF"/>
          </w:tcPr>
          <w:p w:rsidR="00CB76F3" w:rsidRDefault="00CB76F3" w:rsidP="00B75DF8">
            <w:pPr>
              <w:tabs>
                <w:tab w:val="left" w:pos="8931"/>
              </w:tabs>
              <w:jc w:val="both"/>
              <w:rPr>
                <w:b/>
                <w:color w:val="FFFFFF"/>
              </w:rPr>
            </w:pPr>
            <w:r>
              <w:rPr>
                <w:b/>
                <w:color w:val="FFFFFF"/>
              </w:rPr>
              <w:t>Date</w:t>
            </w:r>
          </w:p>
        </w:tc>
        <w:tc>
          <w:tcPr>
            <w:tcW w:w="6541" w:type="dxa"/>
            <w:shd w:val="pct60" w:color="000000" w:fill="FFFFFF"/>
          </w:tcPr>
          <w:p w:rsidR="00CB76F3" w:rsidRDefault="00CB76F3" w:rsidP="00B75DF8">
            <w:pPr>
              <w:tabs>
                <w:tab w:val="left" w:pos="8931"/>
              </w:tabs>
              <w:jc w:val="both"/>
              <w:rPr>
                <w:b/>
                <w:color w:val="FFFFFF"/>
              </w:rPr>
            </w:pPr>
            <w:r>
              <w:rPr>
                <w:b/>
                <w:color w:val="FFFFFF"/>
              </w:rPr>
              <w:t>Assignment</w:t>
            </w:r>
          </w:p>
        </w:tc>
      </w:tr>
      <w:tr w:rsidR="00CB76F3">
        <w:trPr>
          <w:trHeight w:val="300"/>
        </w:trPr>
        <w:tc>
          <w:tcPr>
            <w:tcW w:w="0" w:type="auto"/>
          </w:tcPr>
          <w:p w:rsidR="00CB76F3" w:rsidRDefault="00CB76F3" w:rsidP="000738BA">
            <w:pPr>
              <w:tabs>
                <w:tab w:val="left" w:pos="8931"/>
              </w:tabs>
              <w:jc w:val="both"/>
            </w:pPr>
            <w:r>
              <w:t>1</w:t>
            </w:r>
          </w:p>
        </w:tc>
        <w:tc>
          <w:tcPr>
            <w:tcW w:w="0" w:type="auto"/>
          </w:tcPr>
          <w:p w:rsidR="00CB76F3" w:rsidRDefault="00932828" w:rsidP="00BC23F4">
            <w:pPr>
              <w:tabs>
                <w:tab w:val="left" w:pos="8931"/>
              </w:tabs>
              <w:jc w:val="both"/>
            </w:pPr>
            <w:r>
              <w:t>1</w:t>
            </w:r>
            <w:r w:rsidR="00BC23F4">
              <w:t>2</w:t>
            </w:r>
            <w:r w:rsidR="00CB76F3">
              <w:t>.02</w:t>
            </w:r>
          </w:p>
        </w:tc>
        <w:tc>
          <w:tcPr>
            <w:tcW w:w="6541" w:type="dxa"/>
          </w:tcPr>
          <w:p w:rsidR="000B2C3C" w:rsidRDefault="00CB76F3" w:rsidP="000738BA">
            <w:pPr>
              <w:jc w:val="both"/>
              <w:rPr>
                <w:sz w:val="22"/>
                <w:szCs w:val="22"/>
              </w:rPr>
            </w:pPr>
            <w:r w:rsidRPr="000B2C3C">
              <w:rPr>
                <w:b/>
                <w:sz w:val="22"/>
                <w:szCs w:val="22"/>
              </w:rPr>
              <w:t>An introduction to the course</w:t>
            </w:r>
          </w:p>
          <w:p w:rsidR="000B2C3C" w:rsidRDefault="006D4EA2" w:rsidP="000738BA">
            <w:pPr>
              <w:jc w:val="both"/>
              <w:rPr>
                <w:b/>
                <w:sz w:val="22"/>
                <w:szCs w:val="22"/>
              </w:rPr>
            </w:pPr>
            <w:r>
              <w:rPr>
                <w:b/>
                <w:sz w:val="22"/>
                <w:szCs w:val="22"/>
              </w:rPr>
              <w:t>Women’s H</w:t>
            </w:r>
            <w:r w:rsidR="00CB76F3" w:rsidRPr="000B2C3C">
              <w:rPr>
                <w:b/>
                <w:sz w:val="22"/>
                <w:szCs w:val="22"/>
              </w:rPr>
              <w:t xml:space="preserve">istory </w:t>
            </w:r>
            <w:r w:rsidR="00A106A9">
              <w:rPr>
                <w:b/>
                <w:sz w:val="22"/>
                <w:szCs w:val="22"/>
              </w:rPr>
              <w:t>(</w:t>
            </w:r>
            <w:r w:rsidR="00CB76F3" w:rsidRPr="000B2C3C">
              <w:rPr>
                <w:b/>
                <w:sz w:val="22"/>
                <w:szCs w:val="22"/>
              </w:rPr>
              <w:t>in Britain</w:t>
            </w:r>
            <w:r w:rsidR="00A106A9">
              <w:rPr>
                <w:b/>
                <w:sz w:val="22"/>
                <w:szCs w:val="22"/>
              </w:rPr>
              <w:t>)</w:t>
            </w:r>
          </w:p>
          <w:p w:rsidR="00D200FC" w:rsidRDefault="00D200FC" w:rsidP="00D200FC">
            <w:pPr>
              <w:jc w:val="both"/>
              <w:rPr>
                <w:sz w:val="22"/>
              </w:rPr>
            </w:pPr>
            <w:r>
              <w:rPr>
                <w:i/>
                <w:sz w:val="22"/>
              </w:rPr>
              <w:t>Pertaining secondary</w:t>
            </w:r>
            <w:r w:rsidRPr="00345E13">
              <w:rPr>
                <w:i/>
                <w:sz w:val="22"/>
              </w:rPr>
              <w:t xml:space="preserve"> reading</w:t>
            </w:r>
            <w:r>
              <w:rPr>
                <w:sz w:val="22"/>
              </w:rPr>
              <w:t xml:space="preserve">: </w:t>
            </w:r>
          </w:p>
          <w:p w:rsidR="005E39FA" w:rsidRPr="005E39FA" w:rsidRDefault="00D200FC" w:rsidP="00D200FC">
            <w:pPr>
              <w:jc w:val="both"/>
              <w:rPr>
                <w:i/>
                <w:sz w:val="22"/>
              </w:rPr>
            </w:pPr>
            <w:r>
              <w:rPr>
                <w:sz w:val="22"/>
              </w:rPr>
              <w:t xml:space="preserve">Simone de Beauvoir, “Introduction” to </w:t>
            </w:r>
            <w:r>
              <w:rPr>
                <w:i/>
                <w:sz w:val="22"/>
              </w:rPr>
              <w:t>The Second Sex</w:t>
            </w:r>
          </w:p>
        </w:tc>
      </w:tr>
      <w:tr w:rsidR="003B7BE1">
        <w:trPr>
          <w:trHeight w:val="300"/>
        </w:trPr>
        <w:tc>
          <w:tcPr>
            <w:tcW w:w="0" w:type="auto"/>
          </w:tcPr>
          <w:p w:rsidR="003B7BE1" w:rsidRDefault="003B7BE1" w:rsidP="000738BA">
            <w:pPr>
              <w:tabs>
                <w:tab w:val="left" w:pos="8931"/>
              </w:tabs>
              <w:jc w:val="both"/>
            </w:pPr>
            <w:r>
              <w:t>2</w:t>
            </w:r>
          </w:p>
        </w:tc>
        <w:tc>
          <w:tcPr>
            <w:tcW w:w="0" w:type="auto"/>
          </w:tcPr>
          <w:p w:rsidR="003B7BE1" w:rsidRDefault="00BC23F4" w:rsidP="00BC23F4">
            <w:pPr>
              <w:tabs>
                <w:tab w:val="left" w:pos="8931"/>
              </w:tabs>
              <w:jc w:val="both"/>
            </w:pPr>
            <w:r>
              <w:t>19</w:t>
            </w:r>
            <w:r w:rsidR="003B7BE1">
              <w:t>.0</w:t>
            </w:r>
            <w:r>
              <w:t>2</w:t>
            </w:r>
            <w:r w:rsidR="003B7BE1">
              <w:t>.</w:t>
            </w:r>
          </w:p>
        </w:tc>
        <w:tc>
          <w:tcPr>
            <w:tcW w:w="6541" w:type="dxa"/>
          </w:tcPr>
          <w:p w:rsidR="006B0ED4" w:rsidRPr="008B5B35" w:rsidRDefault="006B0ED4" w:rsidP="006B0ED4">
            <w:pPr>
              <w:jc w:val="both"/>
              <w:rPr>
                <w:b/>
                <w:u w:val="single"/>
              </w:rPr>
            </w:pPr>
            <w:r>
              <w:rPr>
                <w:b/>
              </w:rPr>
              <w:t>T</w:t>
            </w:r>
            <w:r w:rsidRPr="00D3594D">
              <w:rPr>
                <w:b/>
              </w:rPr>
              <w:t xml:space="preserve">he </w:t>
            </w:r>
            <w:r w:rsidR="006D4EA2">
              <w:rPr>
                <w:b/>
              </w:rPr>
              <w:t>H</w:t>
            </w:r>
            <w:r w:rsidRPr="00D3594D">
              <w:rPr>
                <w:b/>
              </w:rPr>
              <w:t xml:space="preserve">istory of </w:t>
            </w:r>
            <w:r w:rsidR="006D4EA2">
              <w:rPr>
                <w:b/>
              </w:rPr>
              <w:t>F</w:t>
            </w:r>
            <w:r w:rsidRPr="00D3594D">
              <w:rPr>
                <w:b/>
              </w:rPr>
              <w:t>eminism</w:t>
            </w:r>
          </w:p>
          <w:p w:rsidR="006104C0" w:rsidRDefault="006104C0" w:rsidP="006104C0">
            <w:pPr>
              <w:jc w:val="both"/>
              <w:rPr>
                <w:sz w:val="22"/>
              </w:rPr>
            </w:pPr>
            <w:r>
              <w:rPr>
                <w:i/>
                <w:sz w:val="22"/>
              </w:rPr>
              <w:t>Pertaining secondary</w:t>
            </w:r>
            <w:r w:rsidRPr="00345E13">
              <w:rPr>
                <w:i/>
                <w:sz w:val="22"/>
              </w:rPr>
              <w:t xml:space="preserve"> reading</w:t>
            </w:r>
            <w:r>
              <w:rPr>
                <w:sz w:val="22"/>
              </w:rPr>
              <w:t xml:space="preserve">: </w:t>
            </w:r>
          </w:p>
          <w:p w:rsidR="005E39FA" w:rsidRPr="00CB76F3" w:rsidRDefault="00D200FC" w:rsidP="006104C0">
            <w:pPr>
              <w:jc w:val="both"/>
              <w:rPr>
                <w:b/>
              </w:rPr>
            </w:pPr>
            <w:r>
              <w:rPr>
                <w:sz w:val="22"/>
                <w:szCs w:val="22"/>
              </w:rPr>
              <w:t>Friedan,</w:t>
            </w:r>
            <w:r w:rsidRPr="003B7BE1">
              <w:rPr>
                <w:sz w:val="22"/>
                <w:szCs w:val="22"/>
              </w:rPr>
              <w:t xml:space="preserve"> </w:t>
            </w:r>
            <w:r>
              <w:rPr>
                <w:sz w:val="22"/>
                <w:szCs w:val="22"/>
              </w:rPr>
              <w:t xml:space="preserve">Betty, </w:t>
            </w:r>
            <w:r w:rsidRPr="003B7BE1">
              <w:rPr>
                <w:sz w:val="22"/>
                <w:szCs w:val="22"/>
              </w:rPr>
              <w:t>“The Problem that Has No Name”</w:t>
            </w:r>
          </w:p>
        </w:tc>
      </w:tr>
      <w:tr w:rsidR="003B7BE1">
        <w:trPr>
          <w:trHeight w:val="300"/>
        </w:trPr>
        <w:tc>
          <w:tcPr>
            <w:tcW w:w="0" w:type="auto"/>
          </w:tcPr>
          <w:p w:rsidR="003B7BE1" w:rsidRDefault="003B7BE1" w:rsidP="00B75DF8">
            <w:pPr>
              <w:tabs>
                <w:tab w:val="left" w:pos="8931"/>
              </w:tabs>
              <w:jc w:val="both"/>
            </w:pPr>
            <w:r>
              <w:t>3</w:t>
            </w:r>
          </w:p>
        </w:tc>
        <w:tc>
          <w:tcPr>
            <w:tcW w:w="0" w:type="auto"/>
          </w:tcPr>
          <w:p w:rsidR="003B7BE1" w:rsidRDefault="00932828" w:rsidP="00BC23F4">
            <w:pPr>
              <w:tabs>
                <w:tab w:val="left" w:pos="8931"/>
              </w:tabs>
              <w:jc w:val="both"/>
            </w:pPr>
            <w:r>
              <w:t>2</w:t>
            </w:r>
            <w:r w:rsidR="00BC23F4">
              <w:t>6</w:t>
            </w:r>
            <w:r w:rsidR="003B7BE1">
              <w:t>.0</w:t>
            </w:r>
            <w:r>
              <w:t>2</w:t>
            </w:r>
            <w:r w:rsidR="003B7BE1">
              <w:t>.</w:t>
            </w:r>
          </w:p>
        </w:tc>
        <w:tc>
          <w:tcPr>
            <w:tcW w:w="6541" w:type="dxa"/>
          </w:tcPr>
          <w:p w:rsidR="00242876" w:rsidRDefault="00242876" w:rsidP="00242876">
            <w:pPr>
              <w:jc w:val="both"/>
              <w:rPr>
                <w:b/>
                <w:sz w:val="22"/>
              </w:rPr>
            </w:pPr>
            <w:r>
              <w:rPr>
                <w:b/>
                <w:sz w:val="22"/>
              </w:rPr>
              <w:t>Basic Terms and Issues</w:t>
            </w:r>
          </w:p>
          <w:p w:rsidR="00242876" w:rsidRDefault="00242876" w:rsidP="00242876">
            <w:pPr>
              <w:jc w:val="both"/>
              <w:rPr>
                <w:sz w:val="22"/>
              </w:rPr>
            </w:pPr>
            <w:r>
              <w:rPr>
                <w:i/>
                <w:sz w:val="22"/>
              </w:rPr>
              <w:t>Pertaining secondary</w:t>
            </w:r>
            <w:r w:rsidRPr="00345E13">
              <w:rPr>
                <w:i/>
                <w:sz w:val="22"/>
              </w:rPr>
              <w:t xml:space="preserve"> reading</w:t>
            </w:r>
            <w:r>
              <w:rPr>
                <w:sz w:val="22"/>
              </w:rPr>
              <w:t xml:space="preserve">: </w:t>
            </w:r>
          </w:p>
          <w:p w:rsidR="003B7BE1" w:rsidRPr="00CB76F3" w:rsidRDefault="00242876" w:rsidP="00242876">
            <w:pPr>
              <w:jc w:val="both"/>
              <w:rPr>
                <w:b/>
              </w:rPr>
            </w:pPr>
            <w:r>
              <w:rPr>
                <w:sz w:val="22"/>
              </w:rPr>
              <w:t>Toril Moi, “Feminist, Female, Feminine”</w:t>
            </w:r>
          </w:p>
        </w:tc>
      </w:tr>
      <w:tr w:rsidR="003B7BE1">
        <w:trPr>
          <w:trHeight w:val="300"/>
        </w:trPr>
        <w:tc>
          <w:tcPr>
            <w:tcW w:w="0" w:type="auto"/>
          </w:tcPr>
          <w:p w:rsidR="003B7BE1" w:rsidRDefault="003B7BE1" w:rsidP="00B75DF8">
            <w:pPr>
              <w:tabs>
                <w:tab w:val="left" w:pos="8931"/>
              </w:tabs>
              <w:jc w:val="both"/>
            </w:pPr>
            <w:bookmarkStart w:id="0" w:name="_GoBack"/>
            <w:r>
              <w:t>4</w:t>
            </w:r>
          </w:p>
        </w:tc>
        <w:tc>
          <w:tcPr>
            <w:tcW w:w="0" w:type="auto"/>
            <w:shd w:val="clear" w:color="auto" w:fill="auto"/>
          </w:tcPr>
          <w:p w:rsidR="003B7BE1" w:rsidRDefault="00BC23F4" w:rsidP="005972D8">
            <w:pPr>
              <w:tabs>
                <w:tab w:val="left" w:pos="8931"/>
              </w:tabs>
              <w:jc w:val="both"/>
            </w:pPr>
            <w:r>
              <w:t>04</w:t>
            </w:r>
            <w:r w:rsidR="003B7BE1">
              <w:t>.03.</w:t>
            </w:r>
          </w:p>
        </w:tc>
        <w:tc>
          <w:tcPr>
            <w:tcW w:w="6541" w:type="dxa"/>
            <w:shd w:val="clear" w:color="auto" w:fill="auto"/>
          </w:tcPr>
          <w:p w:rsidR="00C35151" w:rsidRDefault="00C35151" w:rsidP="00C35151">
            <w:pPr>
              <w:pStyle w:val="BodyText"/>
              <w:rPr>
                <w:b/>
                <w:sz w:val="22"/>
              </w:rPr>
            </w:pPr>
            <w:r>
              <w:rPr>
                <w:b/>
              </w:rPr>
              <w:t>Gender, Science, P</w:t>
            </w:r>
            <w:r w:rsidRPr="00A043B3">
              <w:rPr>
                <w:b/>
              </w:rPr>
              <w:t>sychoanalysis</w:t>
            </w:r>
            <w:r>
              <w:rPr>
                <w:b/>
                <w:sz w:val="22"/>
              </w:rPr>
              <w:t xml:space="preserve"> (Tam</w:t>
            </w:r>
            <w:r>
              <w:rPr>
                <w:b/>
                <w:sz w:val="22"/>
                <w:lang w:val="hu-HU"/>
              </w:rPr>
              <w:t>ás Bényei)</w:t>
            </w:r>
          </w:p>
          <w:p w:rsidR="00C35151" w:rsidRDefault="00C35151" w:rsidP="00C35151">
            <w:pPr>
              <w:pStyle w:val="BodyText"/>
              <w:rPr>
                <w:sz w:val="22"/>
              </w:rPr>
            </w:pPr>
            <w:r>
              <w:rPr>
                <w:i/>
                <w:sz w:val="22"/>
              </w:rPr>
              <w:t>Pertaining secondary</w:t>
            </w:r>
            <w:r w:rsidRPr="00345E13">
              <w:rPr>
                <w:i/>
                <w:sz w:val="22"/>
              </w:rPr>
              <w:t xml:space="preserve"> reading</w:t>
            </w:r>
            <w:r>
              <w:rPr>
                <w:sz w:val="22"/>
              </w:rPr>
              <w:t>:</w:t>
            </w:r>
          </w:p>
          <w:p w:rsidR="005E1457" w:rsidRPr="00897B96" w:rsidRDefault="00C35151" w:rsidP="00C35151">
            <w:pPr>
              <w:jc w:val="both"/>
              <w:rPr>
                <w:sz w:val="22"/>
              </w:rPr>
            </w:pPr>
            <w:r>
              <w:rPr>
                <w:sz w:val="22"/>
              </w:rPr>
              <w:t>Sigmund Freud, “On Femininity”</w:t>
            </w:r>
          </w:p>
        </w:tc>
      </w:tr>
      <w:bookmarkEnd w:id="0"/>
      <w:tr w:rsidR="00C35151">
        <w:trPr>
          <w:trHeight w:val="300"/>
        </w:trPr>
        <w:tc>
          <w:tcPr>
            <w:tcW w:w="0" w:type="auto"/>
          </w:tcPr>
          <w:p w:rsidR="00C35151" w:rsidRDefault="00C35151" w:rsidP="00C35151">
            <w:pPr>
              <w:tabs>
                <w:tab w:val="left" w:pos="8931"/>
              </w:tabs>
              <w:jc w:val="both"/>
            </w:pPr>
            <w:r>
              <w:t>5</w:t>
            </w:r>
          </w:p>
        </w:tc>
        <w:tc>
          <w:tcPr>
            <w:tcW w:w="0" w:type="auto"/>
          </w:tcPr>
          <w:p w:rsidR="00C35151" w:rsidRDefault="00C35151" w:rsidP="00C35151">
            <w:pPr>
              <w:tabs>
                <w:tab w:val="left" w:pos="8931"/>
              </w:tabs>
              <w:jc w:val="both"/>
            </w:pPr>
            <w:r>
              <w:t>11.03.</w:t>
            </w:r>
          </w:p>
        </w:tc>
        <w:tc>
          <w:tcPr>
            <w:tcW w:w="6541" w:type="dxa"/>
          </w:tcPr>
          <w:p w:rsidR="00C35151" w:rsidRPr="00BD568E" w:rsidRDefault="00C35151" w:rsidP="00C35151">
            <w:pPr>
              <w:tabs>
                <w:tab w:val="left" w:pos="8931"/>
              </w:tabs>
              <w:jc w:val="both"/>
              <w:rPr>
                <w:b/>
              </w:rPr>
            </w:pPr>
            <w:r>
              <w:rPr>
                <w:b/>
              </w:rPr>
              <w:t xml:space="preserve">Gendered </w:t>
            </w:r>
            <w:r w:rsidRPr="00BD568E">
              <w:rPr>
                <w:b/>
              </w:rPr>
              <w:t>Myths of Culture</w:t>
            </w:r>
          </w:p>
          <w:p w:rsidR="00C35151" w:rsidRDefault="00C35151" w:rsidP="00C35151">
            <w:pPr>
              <w:jc w:val="both"/>
              <w:rPr>
                <w:sz w:val="22"/>
              </w:rPr>
            </w:pPr>
            <w:r>
              <w:rPr>
                <w:i/>
                <w:sz w:val="22"/>
              </w:rPr>
              <w:t>Pertaining secondary</w:t>
            </w:r>
            <w:r w:rsidRPr="00345E13">
              <w:rPr>
                <w:i/>
                <w:sz w:val="22"/>
              </w:rPr>
              <w:t xml:space="preserve"> reading</w:t>
            </w:r>
            <w:r>
              <w:rPr>
                <w:sz w:val="22"/>
              </w:rPr>
              <w:t xml:space="preserve">: </w:t>
            </w:r>
          </w:p>
          <w:p w:rsidR="00C35151" w:rsidRPr="00897B96" w:rsidRDefault="00C35151" w:rsidP="00C35151">
            <w:pPr>
              <w:jc w:val="both"/>
              <w:rPr>
                <w:sz w:val="22"/>
              </w:rPr>
            </w:pPr>
            <w:r>
              <w:t>Leonard Shlain, “Adam/Eve”</w:t>
            </w:r>
          </w:p>
        </w:tc>
      </w:tr>
      <w:tr w:rsidR="00C35151">
        <w:trPr>
          <w:trHeight w:val="300"/>
        </w:trPr>
        <w:tc>
          <w:tcPr>
            <w:tcW w:w="0" w:type="auto"/>
          </w:tcPr>
          <w:p w:rsidR="00C35151" w:rsidRDefault="00C35151" w:rsidP="00C35151">
            <w:pPr>
              <w:tabs>
                <w:tab w:val="left" w:pos="8931"/>
              </w:tabs>
              <w:jc w:val="both"/>
            </w:pPr>
            <w:r>
              <w:t>6</w:t>
            </w:r>
          </w:p>
        </w:tc>
        <w:tc>
          <w:tcPr>
            <w:tcW w:w="0" w:type="auto"/>
          </w:tcPr>
          <w:p w:rsidR="00C35151" w:rsidRDefault="00C35151" w:rsidP="00C35151">
            <w:pPr>
              <w:tabs>
                <w:tab w:val="left" w:pos="8931"/>
              </w:tabs>
              <w:jc w:val="both"/>
            </w:pPr>
            <w:r>
              <w:t>18.03</w:t>
            </w:r>
          </w:p>
        </w:tc>
        <w:tc>
          <w:tcPr>
            <w:tcW w:w="6541" w:type="dxa"/>
          </w:tcPr>
          <w:p w:rsidR="00C35151" w:rsidRDefault="00C35151" w:rsidP="00C35151">
            <w:pPr>
              <w:jc w:val="both"/>
              <w:rPr>
                <w:b/>
                <w:sz w:val="22"/>
              </w:rPr>
            </w:pPr>
            <w:r>
              <w:rPr>
                <w:b/>
                <w:sz w:val="22"/>
              </w:rPr>
              <w:t>Language and Gender</w:t>
            </w:r>
          </w:p>
          <w:p w:rsidR="00C35151" w:rsidRDefault="00C35151" w:rsidP="00C35151">
            <w:pPr>
              <w:jc w:val="both"/>
              <w:rPr>
                <w:sz w:val="22"/>
              </w:rPr>
            </w:pPr>
            <w:r>
              <w:rPr>
                <w:i/>
                <w:sz w:val="22"/>
              </w:rPr>
              <w:t>Pertaining secondary</w:t>
            </w:r>
            <w:r w:rsidRPr="00345E13">
              <w:rPr>
                <w:i/>
                <w:sz w:val="22"/>
              </w:rPr>
              <w:t xml:space="preserve"> reading</w:t>
            </w:r>
            <w:r>
              <w:rPr>
                <w:sz w:val="22"/>
              </w:rPr>
              <w:t xml:space="preserve">: </w:t>
            </w:r>
          </w:p>
          <w:p w:rsidR="00C35151" w:rsidRPr="00897B96" w:rsidRDefault="00C35151" w:rsidP="00C35151">
            <w:pPr>
              <w:jc w:val="both"/>
              <w:rPr>
                <w:sz w:val="22"/>
              </w:rPr>
            </w:pPr>
            <w:r>
              <w:t>Deborah Cameron, “Making Changes—The Debate on Sexist Language”</w:t>
            </w:r>
          </w:p>
        </w:tc>
      </w:tr>
      <w:tr w:rsidR="00C35151">
        <w:trPr>
          <w:trHeight w:val="300"/>
        </w:trPr>
        <w:tc>
          <w:tcPr>
            <w:tcW w:w="0" w:type="auto"/>
          </w:tcPr>
          <w:p w:rsidR="00C35151" w:rsidRDefault="00C35151" w:rsidP="00C35151">
            <w:pPr>
              <w:tabs>
                <w:tab w:val="left" w:pos="8931"/>
              </w:tabs>
              <w:jc w:val="both"/>
            </w:pPr>
            <w:r>
              <w:t>7</w:t>
            </w:r>
          </w:p>
        </w:tc>
        <w:tc>
          <w:tcPr>
            <w:tcW w:w="0" w:type="auto"/>
          </w:tcPr>
          <w:p w:rsidR="00C35151" w:rsidRDefault="00C35151" w:rsidP="00C35151">
            <w:pPr>
              <w:tabs>
                <w:tab w:val="left" w:pos="8931"/>
              </w:tabs>
              <w:jc w:val="both"/>
            </w:pPr>
            <w:r>
              <w:t>25.03.</w:t>
            </w:r>
          </w:p>
        </w:tc>
        <w:tc>
          <w:tcPr>
            <w:tcW w:w="6541" w:type="dxa"/>
          </w:tcPr>
          <w:p w:rsidR="00C35151" w:rsidRDefault="00C35151" w:rsidP="00C35151">
            <w:pPr>
              <w:jc w:val="both"/>
              <w:rPr>
                <w:b/>
                <w:sz w:val="22"/>
              </w:rPr>
            </w:pPr>
            <w:r>
              <w:rPr>
                <w:b/>
                <w:sz w:val="22"/>
              </w:rPr>
              <w:t xml:space="preserve">Gender Matters in School </w:t>
            </w:r>
          </w:p>
          <w:p w:rsidR="00C35151" w:rsidRDefault="00C35151" w:rsidP="00C35151">
            <w:pPr>
              <w:jc w:val="both"/>
              <w:rPr>
                <w:sz w:val="22"/>
              </w:rPr>
            </w:pPr>
            <w:r>
              <w:rPr>
                <w:i/>
                <w:sz w:val="22"/>
              </w:rPr>
              <w:t>Pertaining secondary</w:t>
            </w:r>
            <w:r w:rsidRPr="00345E13">
              <w:rPr>
                <w:i/>
                <w:sz w:val="22"/>
              </w:rPr>
              <w:t xml:space="preserve"> reading</w:t>
            </w:r>
            <w:r>
              <w:rPr>
                <w:sz w:val="22"/>
              </w:rPr>
              <w:t xml:space="preserve">: </w:t>
            </w:r>
          </w:p>
          <w:p w:rsidR="00C35151" w:rsidRDefault="00C35151" w:rsidP="00C35151">
            <w:pPr>
              <w:jc w:val="both"/>
              <w:rPr>
                <w:b/>
                <w:sz w:val="22"/>
              </w:rPr>
            </w:pPr>
            <w:r>
              <w:rPr>
                <w:sz w:val="22"/>
              </w:rPr>
              <w:t>Jane Sunderland, “Gender in the EFL Classroom”</w:t>
            </w:r>
          </w:p>
        </w:tc>
      </w:tr>
      <w:tr w:rsidR="00C35151">
        <w:trPr>
          <w:trHeight w:val="300"/>
        </w:trPr>
        <w:tc>
          <w:tcPr>
            <w:tcW w:w="0" w:type="auto"/>
          </w:tcPr>
          <w:p w:rsidR="00C35151" w:rsidRDefault="00C35151" w:rsidP="00C35151">
            <w:pPr>
              <w:tabs>
                <w:tab w:val="left" w:pos="8931"/>
              </w:tabs>
              <w:jc w:val="both"/>
            </w:pPr>
            <w:r>
              <w:t>8</w:t>
            </w:r>
          </w:p>
        </w:tc>
        <w:tc>
          <w:tcPr>
            <w:tcW w:w="0" w:type="auto"/>
          </w:tcPr>
          <w:p w:rsidR="00C35151" w:rsidRDefault="00C35151" w:rsidP="00C35151">
            <w:pPr>
              <w:tabs>
                <w:tab w:val="left" w:pos="8931"/>
              </w:tabs>
              <w:jc w:val="both"/>
            </w:pPr>
            <w:r>
              <w:t>01.04</w:t>
            </w:r>
          </w:p>
        </w:tc>
        <w:tc>
          <w:tcPr>
            <w:tcW w:w="6541" w:type="dxa"/>
          </w:tcPr>
          <w:p w:rsidR="00C35151" w:rsidRDefault="00C35151" w:rsidP="00C35151">
            <w:pPr>
              <w:pStyle w:val="BodyText"/>
              <w:rPr>
                <w:b/>
                <w:sz w:val="22"/>
              </w:rPr>
            </w:pPr>
            <w:r>
              <w:rPr>
                <w:b/>
                <w:sz w:val="22"/>
              </w:rPr>
              <w:t>CONSULTATION WEEK – NO CLASS</w:t>
            </w:r>
          </w:p>
        </w:tc>
      </w:tr>
      <w:tr w:rsidR="00C35151">
        <w:tblPrEx>
          <w:tblCellMar>
            <w:left w:w="108" w:type="dxa"/>
            <w:right w:w="108" w:type="dxa"/>
          </w:tblCellMar>
        </w:tblPrEx>
        <w:trPr>
          <w:trHeight w:val="300"/>
        </w:trPr>
        <w:tc>
          <w:tcPr>
            <w:tcW w:w="0" w:type="auto"/>
          </w:tcPr>
          <w:p w:rsidR="00C35151" w:rsidRDefault="00C35151" w:rsidP="00C35151">
            <w:pPr>
              <w:tabs>
                <w:tab w:val="left" w:pos="8931"/>
              </w:tabs>
              <w:jc w:val="both"/>
            </w:pPr>
            <w:r>
              <w:t>9</w:t>
            </w:r>
          </w:p>
        </w:tc>
        <w:tc>
          <w:tcPr>
            <w:tcW w:w="0" w:type="auto"/>
          </w:tcPr>
          <w:p w:rsidR="00C35151" w:rsidRDefault="00C35151" w:rsidP="00C35151">
            <w:pPr>
              <w:tabs>
                <w:tab w:val="left" w:pos="8931"/>
              </w:tabs>
              <w:jc w:val="both"/>
            </w:pPr>
            <w:r>
              <w:t>08.04</w:t>
            </w:r>
          </w:p>
        </w:tc>
        <w:tc>
          <w:tcPr>
            <w:tcW w:w="6541" w:type="dxa"/>
          </w:tcPr>
          <w:p w:rsidR="00C35151" w:rsidRDefault="00C35151" w:rsidP="00C35151">
            <w:pPr>
              <w:pStyle w:val="BodyText"/>
              <w:rPr>
                <w:b/>
                <w:sz w:val="22"/>
              </w:rPr>
            </w:pPr>
            <w:r w:rsidRPr="00A779B7">
              <w:rPr>
                <w:b/>
                <w:sz w:val="22"/>
              </w:rPr>
              <w:t>Gender Matters at Work and/or Home</w:t>
            </w:r>
            <w:r>
              <w:rPr>
                <w:b/>
                <w:sz w:val="22"/>
              </w:rPr>
              <w:t xml:space="preserve"> </w:t>
            </w:r>
          </w:p>
          <w:p w:rsidR="00C35151" w:rsidRPr="00D637F8" w:rsidRDefault="00C35151" w:rsidP="00C35151">
            <w:pPr>
              <w:pStyle w:val="BodyText"/>
              <w:rPr>
                <w:sz w:val="22"/>
              </w:rPr>
            </w:pPr>
            <w:r w:rsidRPr="00D637F8">
              <w:rPr>
                <w:i/>
                <w:sz w:val="22"/>
              </w:rPr>
              <w:t>Pertaining secondary reading</w:t>
            </w:r>
            <w:r w:rsidRPr="00D637F8">
              <w:rPr>
                <w:sz w:val="22"/>
              </w:rPr>
              <w:t xml:space="preserve">: </w:t>
            </w:r>
          </w:p>
          <w:p w:rsidR="00C35151" w:rsidRPr="008B5B35" w:rsidRDefault="00C35151" w:rsidP="00C35151">
            <w:pPr>
              <w:jc w:val="both"/>
              <w:rPr>
                <w:b/>
                <w:sz w:val="22"/>
              </w:rPr>
            </w:pPr>
            <w:r>
              <w:rPr>
                <w:sz w:val="22"/>
              </w:rPr>
              <w:t>Nancy Chodorow, “Introduction” and “Afterword”</w:t>
            </w:r>
          </w:p>
        </w:tc>
      </w:tr>
      <w:tr w:rsidR="00C35151">
        <w:trPr>
          <w:trHeight w:val="50"/>
        </w:trPr>
        <w:tc>
          <w:tcPr>
            <w:tcW w:w="0" w:type="auto"/>
          </w:tcPr>
          <w:p w:rsidR="00C35151" w:rsidRDefault="00C35151" w:rsidP="00C35151">
            <w:pPr>
              <w:tabs>
                <w:tab w:val="left" w:pos="8931"/>
              </w:tabs>
              <w:jc w:val="both"/>
            </w:pPr>
            <w:r>
              <w:t>10</w:t>
            </w:r>
          </w:p>
        </w:tc>
        <w:tc>
          <w:tcPr>
            <w:tcW w:w="0" w:type="auto"/>
          </w:tcPr>
          <w:p w:rsidR="00C35151" w:rsidRDefault="00C35151" w:rsidP="00C35151">
            <w:pPr>
              <w:tabs>
                <w:tab w:val="left" w:pos="8931"/>
              </w:tabs>
              <w:jc w:val="both"/>
            </w:pPr>
            <w:r>
              <w:t>15.04.</w:t>
            </w:r>
          </w:p>
        </w:tc>
        <w:tc>
          <w:tcPr>
            <w:tcW w:w="6541" w:type="dxa"/>
          </w:tcPr>
          <w:p w:rsidR="00C35151" w:rsidRDefault="00C35151" w:rsidP="00C35151">
            <w:pPr>
              <w:jc w:val="both"/>
              <w:rPr>
                <w:b/>
                <w:sz w:val="22"/>
              </w:rPr>
            </w:pPr>
            <w:r>
              <w:rPr>
                <w:b/>
                <w:sz w:val="22"/>
              </w:rPr>
              <w:t>Introduction to Queer Studies (Brigitta Hudácskó)</w:t>
            </w:r>
          </w:p>
          <w:p w:rsidR="00C35151" w:rsidRDefault="00C35151" w:rsidP="00C35151">
            <w:pPr>
              <w:jc w:val="both"/>
              <w:rPr>
                <w:sz w:val="22"/>
              </w:rPr>
            </w:pPr>
            <w:r>
              <w:rPr>
                <w:i/>
                <w:sz w:val="22"/>
              </w:rPr>
              <w:t>Pertaining secondary</w:t>
            </w:r>
            <w:r w:rsidRPr="00345E13">
              <w:rPr>
                <w:i/>
                <w:sz w:val="22"/>
              </w:rPr>
              <w:t xml:space="preserve"> reading</w:t>
            </w:r>
            <w:r>
              <w:rPr>
                <w:sz w:val="22"/>
              </w:rPr>
              <w:t>:</w:t>
            </w:r>
          </w:p>
          <w:p w:rsidR="00C35151" w:rsidRPr="00897B96" w:rsidRDefault="00C35151" w:rsidP="00C35151">
            <w:pPr>
              <w:pStyle w:val="BodyText"/>
              <w:rPr>
                <w:sz w:val="22"/>
              </w:rPr>
            </w:pPr>
            <w:r>
              <w:t>Barry, Peter. "Lesbian/gay criticism."</w:t>
            </w:r>
          </w:p>
        </w:tc>
      </w:tr>
      <w:tr w:rsidR="00C35151">
        <w:trPr>
          <w:trHeight w:val="50"/>
        </w:trPr>
        <w:tc>
          <w:tcPr>
            <w:tcW w:w="0" w:type="auto"/>
          </w:tcPr>
          <w:p w:rsidR="00C35151" w:rsidRDefault="00C35151" w:rsidP="00C35151">
            <w:pPr>
              <w:tabs>
                <w:tab w:val="left" w:pos="8931"/>
              </w:tabs>
              <w:jc w:val="both"/>
            </w:pPr>
            <w:r>
              <w:t>11</w:t>
            </w:r>
          </w:p>
        </w:tc>
        <w:tc>
          <w:tcPr>
            <w:tcW w:w="0" w:type="auto"/>
          </w:tcPr>
          <w:p w:rsidR="00C35151" w:rsidRDefault="00C35151" w:rsidP="00C35151">
            <w:pPr>
              <w:tabs>
                <w:tab w:val="left" w:pos="8931"/>
              </w:tabs>
              <w:jc w:val="both"/>
            </w:pPr>
            <w:r>
              <w:t>22.04.</w:t>
            </w:r>
          </w:p>
        </w:tc>
        <w:tc>
          <w:tcPr>
            <w:tcW w:w="6541" w:type="dxa"/>
          </w:tcPr>
          <w:p w:rsidR="00C35151" w:rsidRDefault="00C35151" w:rsidP="00C35151">
            <w:pPr>
              <w:jc w:val="both"/>
              <w:rPr>
                <w:b/>
                <w:sz w:val="22"/>
              </w:rPr>
            </w:pPr>
            <w:r>
              <w:rPr>
                <w:b/>
                <w:sz w:val="22"/>
              </w:rPr>
              <w:t xml:space="preserve">The Gendered Body </w:t>
            </w:r>
          </w:p>
          <w:p w:rsidR="00C35151" w:rsidRDefault="00C35151" w:rsidP="00C35151">
            <w:pPr>
              <w:jc w:val="both"/>
              <w:rPr>
                <w:sz w:val="22"/>
              </w:rPr>
            </w:pPr>
            <w:r>
              <w:rPr>
                <w:i/>
                <w:sz w:val="22"/>
              </w:rPr>
              <w:t>Pertaining secondary</w:t>
            </w:r>
            <w:r w:rsidRPr="00345E13">
              <w:rPr>
                <w:i/>
                <w:sz w:val="22"/>
              </w:rPr>
              <w:t xml:space="preserve"> reading</w:t>
            </w:r>
            <w:r>
              <w:rPr>
                <w:sz w:val="22"/>
              </w:rPr>
              <w:t xml:space="preserve">: </w:t>
            </w:r>
          </w:p>
          <w:p w:rsidR="00C35151" w:rsidRPr="008B5B35" w:rsidRDefault="00C35151" w:rsidP="00C35151">
            <w:pPr>
              <w:jc w:val="both"/>
              <w:rPr>
                <w:b/>
                <w:sz w:val="22"/>
              </w:rPr>
            </w:pPr>
            <w:r>
              <w:t>Susan Bordo, “Reading the Slender Body”</w:t>
            </w:r>
          </w:p>
        </w:tc>
      </w:tr>
      <w:tr w:rsidR="00C35151">
        <w:trPr>
          <w:trHeight w:val="50"/>
        </w:trPr>
        <w:tc>
          <w:tcPr>
            <w:tcW w:w="0" w:type="auto"/>
          </w:tcPr>
          <w:p w:rsidR="00C35151" w:rsidRDefault="00C35151" w:rsidP="00C35151">
            <w:pPr>
              <w:tabs>
                <w:tab w:val="left" w:pos="8931"/>
              </w:tabs>
              <w:jc w:val="both"/>
            </w:pPr>
            <w:r>
              <w:t>12</w:t>
            </w:r>
          </w:p>
        </w:tc>
        <w:tc>
          <w:tcPr>
            <w:tcW w:w="0" w:type="auto"/>
          </w:tcPr>
          <w:p w:rsidR="00C35151" w:rsidRDefault="00C35151" w:rsidP="00C35151">
            <w:pPr>
              <w:tabs>
                <w:tab w:val="left" w:pos="8931"/>
              </w:tabs>
              <w:jc w:val="both"/>
            </w:pPr>
            <w:r>
              <w:t>30.05.</w:t>
            </w:r>
          </w:p>
        </w:tc>
        <w:tc>
          <w:tcPr>
            <w:tcW w:w="6541" w:type="dxa"/>
          </w:tcPr>
          <w:p w:rsidR="00C35151" w:rsidRPr="00004554" w:rsidRDefault="00C35151" w:rsidP="00C35151">
            <w:pPr>
              <w:tabs>
                <w:tab w:val="left" w:pos="8931"/>
              </w:tabs>
              <w:jc w:val="both"/>
              <w:rPr>
                <w:b/>
              </w:rPr>
            </w:pPr>
            <w:r w:rsidRPr="00A043B3">
              <w:rPr>
                <w:b/>
              </w:rPr>
              <w:t xml:space="preserve">Masculinity and its </w:t>
            </w:r>
            <w:r>
              <w:rPr>
                <w:b/>
              </w:rPr>
              <w:t>D</w:t>
            </w:r>
            <w:r w:rsidRPr="00A043B3">
              <w:rPr>
                <w:b/>
              </w:rPr>
              <w:t>iscontents</w:t>
            </w:r>
            <w:r>
              <w:rPr>
                <w:b/>
              </w:rPr>
              <w:t xml:space="preserve"> (Tamás Bényei)</w:t>
            </w:r>
          </w:p>
          <w:p w:rsidR="00C35151" w:rsidRDefault="00C35151" w:rsidP="00C35151">
            <w:pPr>
              <w:tabs>
                <w:tab w:val="left" w:pos="8931"/>
              </w:tabs>
              <w:jc w:val="both"/>
              <w:rPr>
                <w:b/>
              </w:rPr>
            </w:pPr>
            <w:r w:rsidRPr="00004554">
              <w:rPr>
                <w:i/>
              </w:rPr>
              <w:t xml:space="preserve">Pertaining </w:t>
            </w:r>
            <w:r>
              <w:rPr>
                <w:i/>
              </w:rPr>
              <w:t>secondary reading</w:t>
            </w:r>
            <w:r>
              <w:t xml:space="preserve">: </w:t>
            </w:r>
          </w:p>
          <w:p w:rsidR="00C35151" w:rsidRPr="008B5B35" w:rsidRDefault="00C35151" w:rsidP="00C35151">
            <w:pPr>
              <w:jc w:val="both"/>
              <w:rPr>
                <w:b/>
                <w:sz w:val="22"/>
              </w:rPr>
            </w:pPr>
            <w:r>
              <w:rPr>
                <w:szCs w:val="24"/>
              </w:rPr>
              <w:t>R.W. Connell, “The Social Organization of Masculinity”</w:t>
            </w:r>
          </w:p>
        </w:tc>
      </w:tr>
    </w:tbl>
    <w:p w:rsidR="00BD75C2" w:rsidRDefault="00BD75C2" w:rsidP="00B75DF8">
      <w:pPr>
        <w:tabs>
          <w:tab w:val="left" w:pos="0"/>
          <w:tab w:val="left" w:pos="8931"/>
        </w:tabs>
        <w:spacing w:line="280" w:lineRule="exact"/>
        <w:jc w:val="both"/>
        <w:rPr>
          <w:b/>
        </w:rPr>
      </w:pPr>
    </w:p>
    <w:p w:rsidR="00345E13" w:rsidRPr="00345E13" w:rsidRDefault="004A6614" w:rsidP="00B75DF8">
      <w:pPr>
        <w:tabs>
          <w:tab w:val="left" w:pos="0"/>
          <w:tab w:val="left" w:pos="8931"/>
        </w:tabs>
        <w:spacing w:line="280" w:lineRule="exact"/>
        <w:jc w:val="both"/>
        <w:rPr>
          <w:b/>
        </w:rPr>
      </w:pPr>
      <w:r>
        <w:rPr>
          <w:b/>
        </w:rPr>
        <w:t>T</w:t>
      </w:r>
      <w:r w:rsidRPr="00345E13">
        <w:rPr>
          <w:b/>
        </w:rPr>
        <w:t>he availability</w:t>
      </w:r>
      <w:r>
        <w:rPr>
          <w:b/>
        </w:rPr>
        <w:t xml:space="preserve"> of</w:t>
      </w:r>
      <w:r w:rsidRPr="00345E13">
        <w:rPr>
          <w:b/>
        </w:rPr>
        <w:t xml:space="preserve"> </w:t>
      </w:r>
      <w:r>
        <w:rPr>
          <w:b/>
        </w:rPr>
        <w:t>r</w:t>
      </w:r>
      <w:r w:rsidR="00D9790D">
        <w:rPr>
          <w:b/>
        </w:rPr>
        <w:t>equired</w:t>
      </w:r>
      <w:r w:rsidR="00345E13">
        <w:rPr>
          <w:b/>
        </w:rPr>
        <w:t xml:space="preserve"> </w:t>
      </w:r>
      <w:r w:rsidR="00345E13" w:rsidRPr="00345E13">
        <w:rPr>
          <w:b/>
        </w:rPr>
        <w:t xml:space="preserve">secondary readings for the exam </w:t>
      </w:r>
    </w:p>
    <w:p w:rsidR="00345E13" w:rsidRPr="00345E13" w:rsidRDefault="00345E13" w:rsidP="00B75DF8">
      <w:pPr>
        <w:tabs>
          <w:tab w:val="left" w:pos="0"/>
          <w:tab w:val="left" w:pos="8931"/>
        </w:tabs>
        <w:spacing w:line="280" w:lineRule="exact"/>
        <w:jc w:val="both"/>
        <w:rPr>
          <w:b/>
        </w:rPr>
      </w:pPr>
      <w:r w:rsidRPr="00345E13">
        <w:rPr>
          <w:b/>
        </w:rPr>
        <w:t xml:space="preserve">(for </w:t>
      </w:r>
      <w:r w:rsidR="004A6614">
        <w:rPr>
          <w:b/>
        </w:rPr>
        <w:t>their</w:t>
      </w:r>
      <w:r>
        <w:rPr>
          <w:b/>
        </w:rPr>
        <w:t xml:space="preserve"> function</w:t>
      </w:r>
      <w:r w:rsidR="004A6614">
        <w:rPr>
          <w:b/>
        </w:rPr>
        <w:t xml:space="preserve"> – relevance to topics –</w:t>
      </w:r>
      <w:r>
        <w:rPr>
          <w:b/>
        </w:rPr>
        <w:t xml:space="preserve"> </w:t>
      </w:r>
      <w:r w:rsidRPr="00345E13">
        <w:rPr>
          <w:b/>
        </w:rPr>
        <w:t>see the syllabus above):</w:t>
      </w:r>
    </w:p>
    <w:p w:rsidR="00A106A9" w:rsidRDefault="00A106A9" w:rsidP="00376A12">
      <w:pPr>
        <w:tabs>
          <w:tab w:val="left" w:pos="709"/>
          <w:tab w:val="left" w:pos="8931"/>
        </w:tabs>
        <w:spacing w:line="280" w:lineRule="exact"/>
        <w:ind w:left="567" w:hanging="283"/>
      </w:pPr>
      <w:r>
        <w:rPr>
          <w:sz w:val="22"/>
        </w:rPr>
        <w:t xml:space="preserve">de Beauvoir, </w:t>
      </w:r>
      <w:r w:rsidR="00627721">
        <w:rPr>
          <w:sz w:val="22"/>
        </w:rPr>
        <w:t xml:space="preserve">Simone, </w:t>
      </w:r>
      <w:r>
        <w:rPr>
          <w:sz w:val="22"/>
        </w:rPr>
        <w:t xml:space="preserve">“Introduction” to </w:t>
      </w:r>
      <w:r>
        <w:rPr>
          <w:i/>
          <w:sz w:val="22"/>
        </w:rPr>
        <w:t>The Second Sex</w:t>
      </w:r>
      <w:r>
        <w:rPr>
          <w:sz w:val="22"/>
        </w:rPr>
        <w:t xml:space="preserve"> </w:t>
      </w:r>
      <w:r w:rsidR="007B4260">
        <w:rPr>
          <w:sz w:val="22"/>
        </w:rPr>
        <w:t xml:space="preserve"> (</w:t>
      </w:r>
      <w:r>
        <w:rPr>
          <w:sz w:val="22"/>
        </w:rPr>
        <w:t>in Course Packet)</w:t>
      </w:r>
    </w:p>
    <w:p w:rsidR="00290EB5" w:rsidRDefault="00627721" w:rsidP="00376A12">
      <w:pPr>
        <w:tabs>
          <w:tab w:val="left" w:pos="709"/>
          <w:tab w:val="left" w:pos="8931"/>
        </w:tabs>
        <w:spacing w:line="280" w:lineRule="exact"/>
        <w:ind w:left="567" w:hanging="283"/>
        <w:rPr>
          <w:sz w:val="22"/>
          <w:szCs w:val="22"/>
        </w:rPr>
      </w:pPr>
      <w:r>
        <w:rPr>
          <w:sz w:val="22"/>
          <w:szCs w:val="22"/>
        </w:rPr>
        <w:lastRenderedPageBreak/>
        <w:t>Friedan,</w:t>
      </w:r>
      <w:r w:rsidR="003B7BE1" w:rsidRPr="003B7BE1">
        <w:rPr>
          <w:sz w:val="22"/>
          <w:szCs w:val="22"/>
        </w:rPr>
        <w:t xml:space="preserve"> </w:t>
      </w:r>
      <w:r>
        <w:rPr>
          <w:sz w:val="22"/>
          <w:szCs w:val="22"/>
        </w:rPr>
        <w:t xml:space="preserve">Betty, </w:t>
      </w:r>
      <w:r w:rsidR="003B7BE1" w:rsidRPr="003B7BE1">
        <w:rPr>
          <w:sz w:val="22"/>
          <w:szCs w:val="22"/>
        </w:rPr>
        <w:t>“The Problem that Has No Name”</w:t>
      </w:r>
      <w:r w:rsidR="007B4260">
        <w:rPr>
          <w:sz w:val="22"/>
          <w:szCs w:val="22"/>
        </w:rPr>
        <w:t xml:space="preserve"> (</w:t>
      </w:r>
      <w:r w:rsidR="00D637F8">
        <w:rPr>
          <w:sz w:val="22"/>
          <w:szCs w:val="22"/>
        </w:rPr>
        <w:t xml:space="preserve">pdf uploaded on </w:t>
      </w:r>
      <w:r w:rsidR="00D637F8" w:rsidRPr="00D637F8">
        <w:rPr>
          <w:sz w:val="22"/>
          <w:szCs w:val="22"/>
        </w:rPr>
        <w:t>http://ieas.unideb.hu/index.php?p=487&amp;l=en</w:t>
      </w:r>
      <w:r w:rsidR="00D637F8">
        <w:rPr>
          <w:sz w:val="22"/>
          <w:szCs w:val="22"/>
        </w:rPr>
        <w:t>)</w:t>
      </w:r>
    </w:p>
    <w:p w:rsidR="00113F56" w:rsidRDefault="005E39FA" w:rsidP="00113F56">
      <w:pPr>
        <w:tabs>
          <w:tab w:val="left" w:pos="709"/>
          <w:tab w:val="left" w:pos="3690"/>
        </w:tabs>
        <w:spacing w:line="280" w:lineRule="exact"/>
        <w:ind w:left="567" w:hanging="283"/>
      </w:pPr>
      <w:r>
        <w:rPr>
          <w:sz w:val="22"/>
        </w:rPr>
        <w:t xml:space="preserve">Moi, </w:t>
      </w:r>
      <w:r w:rsidR="00627721">
        <w:rPr>
          <w:sz w:val="22"/>
        </w:rPr>
        <w:t xml:space="preserve">Toril, </w:t>
      </w:r>
      <w:r>
        <w:rPr>
          <w:sz w:val="22"/>
        </w:rPr>
        <w:t>“Feminist, Female, Feminine”</w:t>
      </w:r>
      <w:r w:rsidR="00A23113">
        <w:rPr>
          <w:sz w:val="22"/>
        </w:rPr>
        <w:t>;</w:t>
      </w:r>
      <w:r>
        <w:rPr>
          <w:sz w:val="22"/>
          <w:szCs w:val="22"/>
        </w:rPr>
        <w:t xml:space="preserve">  </w:t>
      </w:r>
      <w:r w:rsidR="00113F56">
        <w:rPr>
          <w:sz w:val="22"/>
          <w:szCs w:val="22"/>
        </w:rPr>
        <w:t xml:space="preserve">(pdf uploaded on </w:t>
      </w:r>
      <w:r w:rsidR="00113F56" w:rsidRPr="00D637F8">
        <w:rPr>
          <w:sz w:val="22"/>
          <w:szCs w:val="22"/>
        </w:rPr>
        <w:t>http://ieas.unideb.hu/index.php?p=487&amp;l=en</w:t>
      </w:r>
      <w:r w:rsidR="00113F56">
        <w:rPr>
          <w:sz w:val="22"/>
          <w:szCs w:val="22"/>
        </w:rPr>
        <w:t>)</w:t>
      </w:r>
    </w:p>
    <w:p w:rsidR="00345E13" w:rsidRDefault="00345E13" w:rsidP="00376A12">
      <w:pPr>
        <w:tabs>
          <w:tab w:val="left" w:pos="709"/>
          <w:tab w:val="left" w:pos="8931"/>
        </w:tabs>
        <w:spacing w:line="280" w:lineRule="exact"/>
        <w:ind w:left="567" w:hanging="283"/>
      </w:pPr>
      <w:r>
        <w:t>Shlain, Leonard. “Adam/Eve</w:t>
      </w:r>
      <w:r w:rsidR="00163047">
        <w:t>”</w:t>
      </w:r>
      <w:r w:rsidR="007B4260">
        <w:t xml:space="preserve"> (</w:t>
      </w:r>
      <w:r w:rsidR="00D637F8" w:rsidRPr="00D637F8">
        <w:t>pdf uploaded on http://ieas.unideb.hu/index.php?p=487&amp;l=en)</w:t>
      </w:r>
    </w:p>
    <w:p w:rsidR="00D200FC" w:rsidRDefault="00D200FC" w:rsidP="00D200FC">
      <w:pPr>
        <w:tabs>
          <w:tab w:val="left" w:pos="709"/>
          <w:tab w:val="left" w:pos="8931"/>
        </w:tabs>
        <w:spacing w:line="280" w:lineRule="exact"/>
        <w:ind w:left="567" w:hanging="283"/>
        <w:rPr>
          <w:sz w:val="22"/>
        </w:rPr>
      </w:pPr>
      <w:r>
        <w:rPr>
          <w:sz w:val="22"/>
        </w:rPr>
        <w:t>Freud, Sigmund, “On Femininity” (</w:t>
      </w:r>
      <w:r w:rsidRPr="00D637F8">
        <w:rPr>
          <w:sz w:val="22"/>
        </w:rPr>
        <w:t>in Course Packet)</w:t>
      </w:r>
    </w:p>
    <w:p w:rsidR="00D33620" w:rsidRDefault="00D33620" w:rsidP="00D33620">
      <w:pPr>
        <w:tabs>
          <w:tab w:val="left" w:pos="709"/>
          <w:tab w:val="left" w:pos="8931"/>
        </w:tabs>
        <w:spacing w:line="280" w:lineRule="exact"/>
        <w:ind w:left="567" w:hanging="283"/>
      </w:pPr>
      <w:r>
        <w:t>Cameron, Deborah. “Making Changes—The Debate on Sexist Language” (</w:t>
      </w:r>
      <w:r w:rsidRPr="00D637F8">
        <w:t>in Course Packet)</w:t>
      </w:r>
    </w:p>
    <w:p w:rsidR="00D200FC" w:rsidRDefault="00D200FC" w:rsidP="00D200FC">
      <w:pPr>
        <w:tabs>
          <w:tab w:val="left" w:pos="360"/>
          <w:tab w:val="left" w:pos="709"/>
          <w:tab w:val="left" w:pos="8931"/>
        </w:tabs>
        <w:spacing w:line="280" w:lineRule="exact"/>
        <w:ind w:left="567" w:hanging="283"/>
        <w:rPr>
          <w:szCs w:val="24"/>
        </w:rPr>
      </w:pPr>
      <w:r w:rsidRPr="00BB6BAD">
        <w:rPr>
          <w:szCs w:val="24"/>
        </w:rPr>
        <w:t>Sunderland, Jane. “Gender in the EFL Classroom”</w:t>
      </w:r>
      <w:r>
        <w:rPr>
          <w:szCs w:val="24"/>
        </w:rPr>
        <w:t xml:space="preserve"> (</w:t>
      </w:r>
      <w:r w:rsidRPr="00D637F8">
        <w:rPr>
          <w:szCs w:val="24"/>
        </w:rPr>
        <w:t>in Course Packet)</w:t>
      </w:r>
    </w:p>
    <w:p w:rsidR="00345E13" w:rsidRDefault="00345E13" w:rsidP="00376A12">
      <w:pPr>
        <w:tabs>
          <w:tab w:val="left" w:pos="709"/>
          <w:tab w:val="left" w:pos="8931"/>
        </w:tabs>
        <w:spacing w:line="280" w:lineRule="exact"/>
        <w:ind w:left="567" w:hanging="283"/>
        <w:rPr>
          <w:sz w:val="22"/>
        </w:rPr>
      </w:pPr>
      <w:r>
        <w:rPr>
          <w:sz w:val="22"/>
        </w:rPr>
        <w:t xml:space="preserve">Chodorow, </w:t>
      </w:r>
      <w:r w:rsidR="00627721">
        <w:rPr>
          <w:sz w:val="22"/>
        </w:rPr>
        <w:t xml:space="preserve">Nancy, “Introduction” and </w:t>
      </w:r>
      <w:r>
        <w:rPr>
          <w:sz w:val="22"/>
        </w:rPr>
        <w:t>“Afterword”</w:t>
      </w:r>
      <w:r w:rsidR="00627721">
        <w:rPr>
          <w:sz w:val="22"/>
        </w:rPr>
        <w:t xml:space="preserve"> from: </w:t>
      </w:r>
      <w:r w:rsidR="00627721" w:rsidRPr="00627721">
        <w:rPr>
          <w:i/>
          <w:sz w:val="22"/>
        </w:rPr>
        <w:t>The Reproduction of Mothering</w:t>
      </w:r>
      <w:r w:rsidR="007B4260">
        <w:rPr>
          <w:sz w:val="22"/>
        </w:rPr>
        <w:t xml:space="preserve"> (</w:t>
      </w:r>
      <w:r w:rsidR="00627721" w:rsidRPr="00D637F8">
        <w:t>pdf uploaded on http://ieas.unideb.hu/index.php?p=487&amp;l=en)</w:t>
      </w:r>
    </w:p>
    <w:p w:rsidR="00900C46" w:rsidRDefault="00900C46" w:rsidP="00376A12">
      <w:pPr>
        <w:tabs>
          <w:tab w:val="left" w:pos="709"/>
          <w:tab w:val="left" w:pos="8931"/>
        </w:tabs>
        <w:spacing w:line="280" w:lineRule="exact"/>
        <w:ind w:left="567" w:hanging="283"/>
        <w:rPr>
          <w:szCs w:val="24"/>
        </w:rPr>
      </w:pPr>
      <w:r>
        <w:t xml:space="preserve">Barry, Peter. "Lesbian/gay criticism." </w:t>
      </w:r>
      <w:r>
        <w:rPr>
          <w:i/>
          <w:iCs/>
        </w:rPr>
        <w:t>Beginning Theory: An Introduction to Literary and Cultural Theory</w:t>
      </w:r>
      <w:r>
        <w:t xml:space="preserve">. Manchester: Manchester UP, 2009. 134-149 </w:t>
      </w:r>
      <w:r>
        <w:rPr>
          <w:sz w:val="22"/>
        </w:rPr>
        <w:t>(</w:t>
      </w:r>
      <w:r w:rsidRPr="00D637F8">
        <w:t>pdf uploaded on http://ieas.unideb.hu/index.php?p=487&amp;l=en)</w:t>
      </w:r>
    </w:p>
    <w:p w:rsidR="00376A12" w:rsidRDefault="00A300FA" w:rsidP="00376A12">
      <w:pPr>
        <w:tabs>
          <w:tab w:val="left" w:pos="709"/>
          <w:tab w:val="left" w:pos="8931"/>
        </w:tabs>
        <w:spacing w:line="280" w:lineRule="exact"/>
        <w:ind w:left="567" w:hanging="283"/>
        <w:rPr>
          <w:szCs w:val="24"/>
        </w:rPr>
      </w:pPr>
      <w:r w:rsidRPr="00BB6BAD">
        <w:rPr>
          <w:szCs w:val="24"/>
        </w:rPr>
        <w:t>Bordo, Susan. “Reading the Slender Body”</w:t>
      </w:r>
      <w:r w:rsidR="007B4260">
        <w:rPr>
          <w:szCs w:val="24"/>
        </w:rPr>
        <w:t xml:space="preserve"> (</w:t>
      </w:r>
      <w:r w:rsidRPr="00D637F8">
        <w:rPr>
          <w:szCs w:val="24"/>
        </w:rPr>
        <w:t>in Course Packet)</w:t>
      </w:r>
    </w:p>
    <w:p w:rsidR="006B1E14" w:rsidRPr="00376A12" w:rsidRDefault="00376A12" w:rsidP="00376A12">
      <w:pPr>
        <w:tabs>
          <w:tab w:val="left" w:pos="709"/>
          <w:tab w:val="left" w:pos="8931"/>
        </w:tabs>
        <w:spacing w:line="280" w:lineRule="exact"/>
        <w:ind w:left="567" w:hanging="283"/>
        <w:rPr>
          <w:szCs w:val="24"/>
        </w:rPr>
      </w:pPr>
      <w:r>
        <w:rPr>
          <w:szCs w:val="24"/>
        </w:rPr>
        <w:t>Connell, R.W., “The Soc</w:t>
      </w:r>
      <w:r w:rsidR="007B4260">
        <w:rPr>
          <w:szCs w:val="24"/>
        </w:rPr>
        <w:t>ial Organization of Masculinity</w:t>
      </w:r>
      <w:r>
        <w:rPr>
          <w:szCs w:val="24"/>
        </w:rPr>
        <w:t xml:space="preserve">” </w:t>
      </w:r>
      <w:r w:rsidR="007B4260" w:rsidRPr="00D637F8">
        <w:t>(pdf uploaded on http://ieas.unideb.hu/index.php?p=487&amp;l=en)</w:t>
      </w:r>
    </w:p>
    <w:sectPr w:rsidR="006B1E14" w:rsidRPr="00376A12" w:rsidSect="009A3DA2">
      <w:type w:val="continuous"/>
      <w:pgSz w:w="11909" w:h="16834" w:code="9"/>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E33" w:rsidRDefault="002F2E33">
      <w:r>
        <w:separator/>
      </w:r>
    </w:p>
  </w:endnote>
  <w:endnote w:type="continuationSeparator" w:id="0">
    <w:p w:rsidR="002F2E33" w:rsidRDefault="002F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E33" w:rsidRDefault="002F2E33">
      <w:r>
        <w:separator/>
      </w:r>
    </w:p>
  </w:footnote>
  <w:footnote w:type="continuationSeparator" w:id="0">
    <w:p w:rsidR="002F2E33" w:rsidRDefault="002F2E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407682"/>
    <w:multiLevelType w:val="singleLevel"/>
    <w:tmpl w:val="C616BC72"/>
    <w:lvl w:ilvl="0">
      <w:start w:val="1"/>
      <w:numFmt w:val="decimal"/>
      <w:lvlText w:val="%1. "/>
      <w:legacy w:legacy="1" w:legacySpace="0" w:legacyIndent="360"/>
      <w:lvlJc w:val="left"/>
      <w:pPr>
        <w:ind w:left="360" w:hanging="360"/>
      </w:pPr>
      <w:rPr>
        <w:b w:val="0"/>
        <w:i w:val="0"/>
        <w:strike w:val="0"/>
        <w:sz w:val="24"/>
      </w:rPr>
    </w:lvl>
  </w:abstractNum>
  <w:abstractNum w:abstractNumId="2" w15:restartNumberingAfterBreak="0">
    <w:nsid w:val="0DE54817"/>
    <w:multiLevelType w:val="singleLevel"/>
    <w:tmpl w:val="7F5EABA6"/>
    <w:lvl w:ilvl="0">
      <w:numFmt w:val="none"/>
      <w:lvlText w:val=""/>
      <w:legacy w:legacy="1" w:legacySpace="0" w:legacyIndent="360"/>
      <w:lvlJc w:val="left"/>
      <w:pPr>
        <w:ind w:left="360" w:hanging="360"/>
      </w:pPr>
      <w:rPr>
        <w:rFonts w:ascii="Symbol" w:hAnsi="Symbol" w:hint="default"/>
      </w:rPr>
    </w:lvl>
  </w:abstractNum>
  <w:abstractNum w:abstractNumId="3" w15:restartNumberingAfterBreak="0">
    <w:nsid w:val="1F6C1DFB"/>
    <w:multiLevelType w:val="singleLevel"/>
    <w:tmpl w:val="7F5EABA6"/>
    <w:lvl w:ilvl="0">
      <w:numFmt w:val="none"/>
      <w:lvlText w:val=""/>
      <w:legacy w:legacy="1" w:legacySpace="0" w:legacyIndent="360"/>
      <w:lvlJc w:val="left"/>
      <w:pPr>
        <w:ind w:left="360" w:hanging="360"/>
      </w:pPr>
      <w:rPr>
        <w:rFonts w:ascii="Symbol" w:hAnsi="Symbol" w:hint="default"/>
      </w:rPr>
    </w:lvl>
  </w:abstractNum>
  <w:abstractNum w:abstractNumId="4" w15:restartNumberingAfterBreak="0">
    <w:nsid w:val="1FE834E6"/>
    <w:multiLevelType w:val="hybridMultilevel"/>
    <w:tmpl w:val="F1E2FEA6"/>
    <w:lvl w:ilvl="0" w:tplc="71E83FDA">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15:restartNumberingAfterBreak="0">
    <w:nsid w:val="241F6DF4"/>
    <w:multiLevelType w:val="hybridMultilevel"/>
    <w:tmpl w:val="F6E44C2C"/>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32786E44"/>
    <w:multiLevelType w:val="hybridMultilevel"/>
    <w:tmpl w:val="06125BC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4251BEC"/>
    <w:multiLevelType w:val="singleLevel"/>
    <w:tmpl w:val="C616BC72"/>
    <w:lvl w:ilvl="0">
      <w:start w:val="1"/>
      <w:numFmt w:val="decimal"/>
      <w:lvlText w:val="%1. "/>
      <w:legacy w:legacy="1" w:legacySpace="0" w:legacyIndent="360"/>
      <w:lvlJc w:val="left"/>
      <w:pPr>
        <w:ind w:left="360" w:hanging="360"/>
      </w:pPr>
      <w:rPr>
        <w:b w:val="0"/>
        <w:i w:val="0"/>
        <w:strike w:val="0"/>
        <w:sz w:val="24"/>
      </w:rPr>
    </w:lvl>
  </w:abstractNum>
  <w:abstractNum w:abstractNumId="8" w15:restartNumberingAfterBreak="0">
    <w:nsid w:val="421432C2"/>
    <w:multiLevelType w:val="singleLevel"/>
    <w:tmpl w:val="EE3E5746"/>
    <w:lvl w:ilvl="0">
      <w:start w:val="1"/>
      <w:numFmt w:val="decimal"/>
      <w:lvlText w:val="%1."/>
      <w:legacy w:legacy="1" w:legacySpace="0" w:legacyIndent="360"/>
      <w:lvlJc w:val="left"/>
      <w:pPr>
        <w:ind w:left="360" w:hanging="360"/>
      </w:pPr>
    </w:lvl>
  </w:abstractNum>
  <w:abstractNum w:abstractNumId="9" w15:restartNumberingAfterBreak="0">
    <w:nsid w:val="4C396E57"/>
    <w:multiLevelType w:val="singleLevel"/>
    <w:tmpl w:val="7F5EABA6"/>
    <w:lvl w:ilvl="0">
      <w:numFmt w:val="none"/>
      <w:lvlText w:val=""/>
      <w:legacy w:legacy="1" w:legacySpace="0" w:legacyIndent="360"/>
      <w:lvlJc w:val="left"/>
      <w:pPr>
        <w:ind w:left="360" w:hanging="360"/>
      </w:pPr>
      <w:rPr>
        <w:rFonts w:ascii="Symbol" w:hAnsi="Symbol" w:hint="default"/>
      </w:rPr>
    </w:lvl>
  </w:abstractNum>
  <w:abstractNum w:abstractNumId="10" w15:restartNumberingAfterBreak="0">
    <w:nsid w:val="4C5E71F7"/>
    <w:multiLevelType w:val="singleLevel"/>
    <w:tmpl w:val="7F5EABA6"/>
    <w:lvl w:ilvl="0">
      <w:numFmt w:val="none"/>
      <w:lvlText w:val=""/>
      <w:legacy w:legacy="1" w:legacySpace="0" w:legacyIndent="360"/>
      <w:lvlJc w:val="left"/>
      <w:pPr>
        <w:ind w:left="360" w:hanging="360"/>
      </w:pPr>
      <w:rPr>
        <w:rFonts w:ascii="Symbol" w:hAnsi="Symbol" w:hint="default"/>
      </w:rPr>
    </w:lvl>
  </w:abstractNum>
  <w:abstractNum w:abstractNumId="11" w15:restartNumberingAfterBreak="0">
    <w:nsid w:val="53CE5B73"/>
    <w:multiLevelType w:val="hybridMultilevel"/>
    <w:tmpl w:val="9F9460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4643B18"/>
    <w:multiLevelType w:val="singleLevel"/>
    <w:tmpl w:val="7F5EABA6"/>
    <w:lvl w:ilvl="0">
      <w:numFmt w:val="none"/>
      <w:lvlText w:val=""/>
      <w:legacy w:legacy="1" w:legacySpace="0" w:legacyIndent="360"/>
      <w:lvlJc w:val="left"/>
      <w:pPr>
        <w:ind w:left="360" w:hanging="360"/>
      </w:pPr>
      <w:rPr>
        <w:rFonts w:ascii="Symbol" w:hAnsi="Symbol" w:hint="default"/>
      </w:rPr>
    </w:lvl>
  </w:abstractNum>
  <w:abstractNum w:abstractNumId="13" w15:restartNumberingAfterBreak="0">
    <w:nsid w:val="5C992241"/>
    <w:multiLevelType w:val="singleLevel"/>
    <w:tmpl w:val="E280E6D8"/>
    <w:lvl w:ilvl="0">
      <w:start w:val="1"/>
      <w:numFmt w:val="decimal"/>
      <w:lvlText w:val="%1."/>
      <w:legacy w:legacy="1" w:legacySpace="0" w:legacyIndent="360"/>
      <w:lvlJc w:val="left"/>
      <w:pPr>
        <w:ind w:left="360" w:hanging="360"/>
      </w:pPr>
    </w:lvl>
  </w:abstractNum>
  <w:abstractNum w:abstractNumId="14" w15:restartNumberingAfterBreak="0">
    <w:nsid w:val="606673A7"/>
    <w:multiLevelType w:val="hybridMultilevel"/>
    <w:tmpl w:val="51F69F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B81C8B"/>
    <w:multiLevelType w:val="singleLevel"/>
    <w:tmpl w:val="2EF00526"/>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6" w15:restartNumberingAfterBreak="0">
    <w:nsid w:val="68BC40FA"/>
    <w:multiLevelType w:val="singleLevel"/>
    <w:tmpl w:val="7F5EABA6"/>
    <w:lvl w:ilvl="0">
      <w:numFmt w:val="none"/>
      <w:lvlText w:val=""/>
      <w:legacy w:legacy="1" w:legacySpace="0" w:legacyIndent="360"/>
      <w:lvlJc w:val="left"/>
      <w:pPr>
        <w:ind w:left="360" w:hanging="360"/>
      </w:pPr>
      <w:rPr>
        <w:rFonts w:ascii="Symbol" w:hAnsi="Symbol" w:hint="default"/>
      </w:rPr>
    </w:lvl>
  </w:abstractNum>
  <w:abstractNum w:abstractNumId="17" w15:restartNumberingAfterBreak="0">
    <w:nsid w:val="6FB07649"/>
    <w:multiLevelType w:val="singleLevel"/>
    <w:tmpl w:val="7F5EABA6"/>
    <w:lvl w:ilvl="0">
      <w:numFmt w:val="none"/>
      <w:lvlText w:val=""/>
      <w:legacy w:legacy="1" w:legacySpace="0" w:legacyIndent="360"/>
      <w:lvlJc w:val="left"/>
      <w:pPr>
        <w:ind w:left="360" w:hanging="360"/>
      </w:pPr>
      <w:rPr>
        <w:rFonts w:ascii="Symbol" w:hAnsi="Symbol" w:hint="default"/>
      </w:rPr>
    </w:lvl>
  </w:abstractNum>
  <w:abstractNum w:abstractNumId="18" w15:restartNumberingAfterBreak="0">
    <w:nsid w:val="743554E8"/>
    <w:multiLevelType w:val="singleLevel"/>
    <w:tmpl w:val="2EF00526"/>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abstractNumId w:val="18"/>
  </w:num>
  <w:num w:numId="2">
    <w:abstractNumId w:val="15"/>
  </w:num>
  <w:num w:numId="3">
    <w:abstractNumId w:val="13"/>
  </w:num>
  <w:num w:numId="4">
    <w:abstractNumId w:val="13"/>
    <w:lvlOverride w:ilvl="0">
      <w:lvl w:ilvl="0">
        <w:start w:val="1"/>
        <w:numFmt w:val="decimal"/>
        <w:lvlText w:val="%1."/>
        <w:legacy w:legacy="1" w:legacySpace="0" w:legacyIndent="360"/>
        <w:lvlJc w:val="left"/>
        <w:pPr>
          <w:ind w:left="360" w:hanging="360"/>
        </w:pPr>
      </w:lvl>
    </w:lvlOverride>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7"/>
  </w:num>
  <w:num w:numId="7">
    <w:abstractNumId w:val="1"/>
  </w:num>
  <w:num w:numId="8">
    <w:abstractNumId w:val="8"/>
  </w:num>
  <w:num w:numId="9">
    <w:abstractNumId w:val="9"/>
  </w:num>
  <w:num w:numId="10">
    <w:abstractNumId w:val="10"/>
  </w:num>
  <w:num w:numId="11">
    <w:abstractNumId w:val="3"/>
  </w:num>
  <w:num w:numId="12">
    <w:abstractNumId w:val="2"/>
  </w:num>
  <w:num w:numId="13">
    <w:abstractNumId w:val="17"/>
  </w:num>
  <w:num w:numId="14">
    <w:abstractNumId w:val="16"/>
  </w:num>
  <w:num w:numId="15">
    <w:abstractNumId w:val="12"/>
  </w:num>
  <w:num w:numId="16">
    <w:abstractNumId w:val="14"/>
  </w:num>
  <w:num w:numId="17">
    <w:abstractNumId w:val="11"/>
  </w:num>
  <w:num w:numId="18">
    <w:abstractNumId w:val="6"/>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70"/>
    <w:rsid w:val="00004554"/>
    <w:rsid w:val="00010060"/>
    <w:rsid w:val="000257C3"/>
    <w:rsid w:val="0003173D"/>
    <w:rsid w:val="00033874"/>
    <w:rsid w:val="0005563B"/>
    <w:rsid w:val="000738BA"/>
    <w:rsid w:val="000B2C3C"/>
    <w:rsid w:val="000C774F"/>
    <w:rsid w:val="00113F56"/>
    <w:rsid w:val="00133804"/>
    <w:rsid w:val="00152EA5"/>
    <w:rsid w:val="00163047"/>
    <w:rsid w:val="001950C7"/>
    <w:rsid w:val="00195845"/>
    <w:rsid w:val="001A4181"/>
    <w:rsid w:val="001B2D5E"/>
    <w:rsid w:val="001C1253"/>
    <w:rsid w:val="0024156F"/>
    <w:rsid w:val="00242876"/>
    <w:rsid w:val="00245F7D"/>
    <w:rsid w:val="00290EB5"/>
    <w:rsid w:val="002D510F"/>
    <w:rsid w:val="002F2E33"/>
    <w:rsid w:val="00345E13"/>
    <w:rsid w:val="003516BD"/>
    <w:rsid w:val="00360EFB"/>
    <w:rsid w:val="00376A12"/>
    <w:rsid w:val="0038097E"/>
    <w:rsid w:val="003B1AE5"/>
    <w:rsid w:val="003B487A"/>
    <w:rsid w:val="003B7BE1"/>
    <w:rsid w:val="00414E99"/>
    <w:rsid w:val="00430913"/>
    <w:rsid w:val="00457E59"/>
    <w:rsid w:val="00460E04"/>
    <w:rsid w:val="00491234"/>
    <w:rsid w:val="004A6614"/>
    <w:rsid w:val="004C109D"/>
    <w:rsid w:val="004C1FD6"/>
    <w:rsid w:val="004C4B57"/>
    <w:rsid w:val="004F442F"/>
    <w:rsid w:val="00505147"/>
    <w:rsid w:val="0055334B"/>
    <w:rsid w:val="005669AF"/>
    <w:rsid w:val="00567340"/>
    <w:rsid w:val="00594049"/>
    <w:rsid w:val="005972D8"/>
    <w:rsid w:val="005D33BC"/>
    <w:rsid w:val="005E1457"/>
    <w:rsid w:val="005E39FA"/>
    <w:rsid w:val="006104C0"/>
    <w:rsid w:val="00611E66"/>
    <w:rsid w:val="00627721"/>
    <w:rsid w:val="006B0085"/>
    <w:rsid w:val="006B0ED4"/>
    <w:rsid w:val="006B1E14"/>
    <w:rsid w:val="006D3502"/>
    <w:rsid w:val="006D36FB"/>
    <w:rsid w:val="006D4EA2"/>
    <w:rsid w:val="006F2AEA"/>
    <w:rsid w:val="006F62EB"/>
    <w:rsid w:val="00704DEF"/>
    <w:rsid w:val="00715D06"/>
    <w:rsid w:val="0077394A"/>
    <w:rsid w:val="007839A6"/>
    <w:rsid w:val="007A40D6"/>
    <w:rsid w:val="007A52E5"/>
    <w:rsid w:val="007B4260"/>
    <w:rsid w:val="007E17DD"/>
    <w:rsid w:val="007F09B4"/>
    <w:rsid w:val="00836D9D"/>
    <w:rsid w:val="00841660"/>
    <w:rsid w:val="0086216B"/>
    <w:rsid w:val="00870033"/>
    <w:rsid w:val="008757D6"/>
    <w:rsid w:val="00897B96"/>
    <w:rsid w:val="008B5B35"/>
    <w:rsid w:val="008B6002"/>
    <w:rsid w:val="008D5A4D"/>
    <w:rsid w:val="008F2170"/>
    <w:rsid w:val="00900C46"/>
    <w:rsid w:val="00914607"/>
    <w:rsid w:val="00916EEB"/>
    <w:rsid w:val="00932828"/>
    <w:rsid w:val="00973134"/>
    <w:rsid w:val="009945B0"/>
    <w:rsid w:val="009A3DA2"/>
    <w:rsid w:val="009B1B59"/>
    <w:rsid w:val="009D0E69"/>
    <w:rsid w:val="009E6204"/>
    <w:rsid w:val="00A01A24"/>
    <w:rsid w:val="00A043B3"/>
    <w:rsid w:val="00A106A9"/>
    <w:rsid w:val="00A23113"/>
    <w:rsid w:val="00A300FA"/>
    <w:rsid w:val="00A474D5"/>
    <w:rsid w:val="00A7123A"/>
    <w:rsid w:val="00A779B7"/>
    <w:rsid w:val="00AA2EDE"/>
    <w:rsid w:val="00AA5E53"/>
    <w:rsid w:val="00AA6992"/>
    <w:rsid w:val="00B0341A"/>
    <w:rsid w:val="00B2051F"/>
    <w:rsid w:val="00B26378"/>
    <w:rsid w:val="00B402B0"/>
    <w:rsid w:val="00B4071B"/>
    <w:rsid w:val="00B47EDA"/>
    <w:rsid w:val="00B6301D"/>
    <w:rsid w:val="00B67E19"/>
    <w:rsid w:val="00B75DF8"/>
    <w:rsid w:val="00B869EB"/>
    <w:rsid w:val="00B94BF5"/>
    <w:rsid w:val="00B9500A"/>
    <w:rsid w:val="00BB4E81"/>
    <w:rsid w:val="00BB6BAD"/>
    <w:rsid w:val="00BC23F4"/>
    <w:rsid w:val="00BD568E"/>
    <w:rsid w:val="00BD6608"/>
    <w:rsid w:val="00BD75C2"/>
    <w:rsid w:val="00BE6C4F"/>
    <w:rsid w:val="00C03618"/>
    <w:rsid w:val="00C22C27"/>
    <w:rsid w:val="00C31F53"/>
    <w:rsid w:val="00C35151"/>
    <w:rsid w:val="00C507BC"/>
    <w:rsid w:val="00CA6C85"/>
    <w:rsid w:val="00CB3DE4"/>
    <w:rsid w:val="00CB76F3"/>
    <w:rsid w:val="00CE1240"/>
    <w:rsid w:val="00CE6B91"/>
    <w:rsid w:val="00CF137E"/>
    <w:rsid w:val="00CF6A0F"/>
    <w:rsid w:val="00D178AA"/>
    <w:rsid w:val="00D200FC"/>
    <w:rsid w:val="00D33620"/>
    <w:rsid w:val="00D33C04"/>
    <w:rsid w:val="00D3594D"/>
    <w:rsid w:val="00D637F8"/>
    <w:rsid w:val="00D94FD8"/>
    <w:rsid w:val="00D9790D"/>
    <w:rsid w:val="00DA2593"/>
    <w:rsid w:val="00DC7008"/>
    <w:rsid w:val="00E106FD"/>
    <w:rsid w:val="00E135D0"/>
    <w:rsid w:val="00E962C2"/>
    <w:rsid w:val="00F34098"/>
    <w:rsid w:val="00F466FF"/>
    <w:rsid w:val="00F65D64"/>
    <w:rsid w:val="00F75930"/>
    <w:rsid w:val="00F915CD"/>
    <w:rsid w:val="00FB3A9F"/>
    <w:rsid w:val="00FE18B9"/>
    <w:rsid w:val="00FE6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4B7FA2-4A6B-45E3-98B5-ED8854766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9A6"/>
    <w:rPr>
      <w:sz w:val="24"/>
    </w:rPr>
  </w:style>
  <w:style w:type="paragraph" w:styleId="Heading1">
    <w:name w:val="heading 1"/>
    <w:basedOn w:val="Normal"/>
    <w:next w:val="Normal"/>
    <w:qFormat/>
    <w:rsid w:val="007839A6"/>
    <w:pPr>
      <w:keepNext/>
      <w:outlineLvl w:val="0"/>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39A6"/>
    <w:pPr>
      <w:jc w:val="both"/>
    </w:pPr>
  </w:style>
  <w:style w:type="paragraph" w:styleId="BodyText2">
    <w:name w:val="Body Text 2"/>
    <w:basedOn w:val="Normal"/>
    <w:rsid w:val="007839A6"/>
    <w:pPr>
      <w:jc w:val="both"/>
    </w:pPr>
    <w:rPr>
      <w:b/>
    </w:rPr>
  </w:style>
  <w:style w:type="character" w:styleId="Hyperlink">
    <w:name w:val="Hyperlink"/>
    <w:basedOn w:val="DefaultParagraphFont"/>
    <w:rsid w:val="007839A6"/>
    <w:rPr>
      <w:color w:val="0000FF"/>
      <w:u w:val="single"/>
    </w:rPr>
  </w:style>
  <w:style w:type="paragraph" w:styleId="NormalWeb">
    <w:name w:val="Normal (Web)"/>
    <w:basedOn w:val="Normal"/>
    <w:rsid w:val="008F2170"/>
    <w:pPr>
      <w:spacing w:before="100" w:beforeAutospacing="1" w:after="100" w:afterAutospacing="1"/>
    </w:pPr>
    <w:rPr>
      <w:szCs w:val="24"/>
    </w:rPr>
  </w:style>
  <w:style w:type="character" w:styleId="Emphasis">
    <w:name w:val="Emphasis"/>
    <w:basedOn w:val="DefaultParagraphFont"/>
    <w:qFormat/>
    <w:rsid w:val="008F2170"/>
    <w:rPr>
      <w:i/>
      <w:iCs/>
    </w:rPr>
  </w:style>
  <w:style w:type="table" w:styleId="TableGrid">
    <w:name w:val="Table Grid"/>
    <w:basedOn w:val="TableNormal"/>
    <w:rsid w:val="00241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7A40D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eas.unideb.hu/index.php?p=487&amp;l=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Literature, Film and Adaptation</vt:lpstr>
    </vt:vector>
  </TitlesOfParts>
  <Company/>
  <LinksUpToDate>false</LinksUpToDate>
  <CharactersWithSpaces>6053</CharactersWithSpaces>
  <SharedDoc>false</SharedDoc>
  <HLinks>
    <vt:vector size="6" baseType="variant">
      <vt:variant>
        <vt:i4>2097202</vt:i4>
      </vt:variant>
      <vt:variant>
        <vt:i4>0</vt:i4>
      </vt:variant>
      <vt:variant>
        <vt:i4>0</vt:i4>
      </vt:variant>
      <vt:variant>
        <vt:i4>5</vt:i4>
      </vt:variant>
      <vt:variant>
        <vt:lpwstr>http://ieas.unideb.hu/index.php?p=487&amp;l=en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Literature, Film and Adaptation</dc:title>
  <dc:creator>klte angam</dc:creator>
  <cp:lastModifiedBy>Nora</cp:lastModifiedBy>
  <cp:revision>3</cp:revision>
  <dcterms:created xsi:type="dcterms:W3CDTF">2020-01-27T07:16:00Z</dcterms:created>
  <dcterms:modified xsi:type="dcterms:W3CDTF">2020-02-29T13:25:00Z</dcterms:modified>
</cp:coreProperties>
</file>